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7B" w:rsidRPr="002F3AFA" w:rsidRDefault="00D97C7B">
      <w:pPr>
        <w:pStyle w:val="EYBodytextsubhead1"/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2F3AFA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20"/>
          <w:szCs w:val="20"/>
          <w:lang w:val="cs-CZ"/>
        </w:rPr>
        <w:tab/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>Alžběta Honsová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Monika Veselá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Tel.: +420 225 335 669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Tel.: +420 234 669 504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Mobile: +420 603  577 939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Mobile: +420 604 333 320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E-mail: alzbeta.honsova@cz.ey.com</w:t>
      </w:r>
      <w:r w:rsidRPr="002F3AFA">
        <w:rPr>
          <w:rFonts w:ascii="Arial" w:hAnsi="Arial" w:cs="Arial"/>
          <w:b w:val="0"/>
          <w:sz w:val="16"/>
          <w:szCs w:val="16"/>
          <w:lang w:val="cs-CZ"/>
        </w:rPr>
        <w:tab/>
        <w:t>E-mail: monika.vesela@fleishman.com</w:t>
      </w: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97C7B" w:rsidRPr="002F3AFA" w:rsidRDefault="00D97C7B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CE6D73" w:rsidRDefault="00984F64" w:rsidP="00CE6D73">
      <w:pP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Snižování nákladů a tlak</w:t>
      </w:r>
      <w:r w:rsidR="00CE6D73">
        <w:rPr>
          <w:rFonts w:ascii="Arial" w:hAnsi="Arial"/>
          <w:b/>
          <w:sz w:val="28"/>
        </w:rPr>
        <w:t xml:space="preserve"> na výši cen představují podle analytiků n</w:t>
      </w:r>
      <w:r w:rsidR="00CE6D73" w:rsidRPr="000F7D4C">
        <w:rPr>
          <w:rFonts w:ascii="Arial" w:hAnsi="Arial"/>
          <w:b/>
          <w:sz w:val="28"/>
        </w:rPr>
        <w:t xml:space="preserve">ejvýraznější </w:t>
      </w:r>
      <w:r w:rsidR="00CE6D73">
        <w:rPr>
          <w:rFonts w:ascii="Arial" w:hAnsi="Arial"/>
          <w:b/>
          <w:sz w:val="28"/>
        </w:rPr>
        <w:t>podnikatelská rizika</w:t>
      </w:r>
      <w:r w:rsidR="00CE6D73" w:rsidRPr="000F7D4C">
        <w:rPr>
          <w:rFonts w:ascii="Arial" w:hAnsi="Arial"/>
          <w:b/>
          <w:sz w:val="28"/>
        </w:rPr>
        <w:t xml:space="preserve"> pro rok 2011 </w:t>
      </w:r>
    </w:p>
    <w:p w:rsidR="00CE6D73" w:rsidRPr="00FD3C9E" w:rsidRDefault="009C6FC5" w:rsidP="00CE6D73">
      <w:pPr>
        <w:pStyle w:val="EYBodytextwithparaspace"/>
        <w:numPr>
          <w:ilvl w:val="0"/>
          <w:numId w:val="27"/>
        </w:numPr>
        <w:tabs>
          <w:tab w:val="clear" w:pos="907"/>
        </w:tabs>
        <w:spacing w:after="0" w:line="240" w:lineRule="auto"/>
        <w:ind w:left="714" w:hanging="357"/>
        <w:rPr>
          <w:b/>
          <w:szCs w:val="26"/>
          <w:lang w:val="cs-CZ"/>
        </w:rPr>
      </w:pPr>
      <w:r>
        <w:rPr>
          <w:b/>
          <w:lang w:val="cs-CZ"/>
        </w:rPr>
        <w:t>V</w:t>
      </w:r>
      <w:r w:rsidR="00CE6D73" w:rsidRPr="000F7D4C">
        <w:rPr>
          <w:b/>
          <w:lang w:val="cs-CZ"/>
        </w:rPr>
        <w:t xml:space="preserve"> žebříčku rizik se nově </w:t>
      </w:r>
      <w:r>
        <w:rPr>
          <w:b/>
          <w:lang w:val="cs-CZ"/>
        </w:rPr>
        <w:t xml:space="preserve">objevila </w:t>
      </w:r>
      <w:r w:rsidR="00CE6D73" w:rsidRPr="000F7D4C">
        <w:rPr>
          <w:b/>
          <w:lang w:val="cs-CZ"/>
        </w:rPr>
        <w:t>tržní rizika spolu se sílící rolí národních vlád</w:t>
      </w:r>
    </w:p>
    <w:p w:rsidR="00CE6D73" w:rsidRPr="00FD3C9E" w:rsidRDefault="00CE6D73" w:rsidP="00CE6D73">
      <w:pPr>
        <w:pStyle w:val="EYBodytextwithparaspace"/>
        <w:numPr>
          <w:ilvl w:val="0"/>
          <w:numId w:val="27"/>
        </w:numPr>
        <w:tabs>
          <w:tab w:val="clear" w:pos="907"/>
        </w:tabs>
        <w:spacing w:after="0" w:line="240" w:lineRule="auto"/>
        <w:ind w:left="714" w:hanging="357"/>
        <w:rPr>
          <w:b/>
          <w:szCs w:val="26"/>
          <w:lang w:val="cs-CZ"/>
        </w:rPr>
      </w:pPr>
      <w:r w:rsidRPr="000F7D4C">
        <w:rPr>
          <w:b/>
          <w:lang w:val="cs-CZ"/>
        </w:rPr>
        <w:t>Regulační zásahy zůstávají celkově nejzávažnějším rizikem</w:t>
      </w:r>
    </w:p>
    <w:p w:rsidR="00CE6D73" w:rsidRPr="00FD3C9E" w:rsidRDefault="00CE6D73" w:rsidP="00CE6D73">
      <w:pPr>
        <w:pStyle w:val="EYBodytextwithparaspace"/>
        <w:numPr>
          <w:ilvl w:val="0"/>
          <w:numId w:val="27"/>
        </w:numPr>
        <w:tabs>
          <w:tab w:val="clear" w:pos="907"/>
        </w:tabs>
        <w:spacing w:after="0" w:line="240" w:lineRule="auto"/>
        <w:ind w:left="714" w:hanging="357"/>
        <w:rPr>
          <w:b/>
          <w:szCs w:val="26"/>
          <w:lang w:val="cs-CZ"/>
        </w:rPr>
      </w:pPr>
      <w:r w:rsidRPr="000F7D4C">
        <w:rPr>
          <w:b/>
          <w:lang w:val="cs-CZ"/>
        </w:rPr>
        <w:t xml:space="preserve">Z pohledu </w:t>
      </w:r>
      <w:r w:rsidR="00B15AC3">
        <w:rPr>
          <w:b/>
          <w:lang w:val="cs-CZ"/>
        </w:rPr>
        <w:t xml:space="preserve">mezinárodních </w:t>
      </w:r>
      <w:r w:rsidRPr="000F7D4C">
        <w:rPr>
          <w:b/>
          <w:lang w:val="cs-CZ"/>
        </w:rPr>
        <w:t>společností představuje nejvýraznější příležitost pro rok 2011 růst poptávky v rámci rozvíjejících se trhů</w:t>
      </w:r>
    </w:p>
    <w:p w:rsidR="002F2CD1" w:rsidRDefault="002F2CD1" w:rsidP="00CE6D73">
      <w:pPr>
        <w:spacing w:line="360" w:lineRule="auto"/>
        <w:rPr>
          <w:rFonts w:ascii="Arial" w:hAnsi="Arial"/>
          <w:i/>
          <w:sz w:val="22"/>
        </w:rPr>
      </w:pPr>
    </w:p>
    <w:p w:rsidR="00CE6D73" w:rsidRPr="000F7D4C" w:rsidRDefault="00CE6D73" w:rsidP="00CE6D7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Praha, </w:t>
      </w:r>
      <w:r w:rsidR="002F2CD1">
        <w:rPr>
          <w:rFonts w:ascii="Arial" w:hAnsi="Arial"/>
          <w:i/>
          <w:sz w:val="22"/>
        </w:rPr>
        <w:t>20</w:t>
      </w:r>
      <w:r>
        <w:rPr>
          <w:rFonts w:ascii="Arial" w:hAnsi="Arial"/>
          <w:i/>
          <w:sz w:val="22"/>
        </w:rPr>
        <w:t>. ledna</w:t>
      </w:r>
      <w:r w:rsidRPr="000F7D4C">
        <w:rPr>
          <w:rFonts w:ascii="Arial" w:hAnsi="Arial"/>
          <w:i/>
          <w:sz w:val="22"/>
        </w:rPr>
        <w:t xml:space="preserve"> 201</w:t>
      </w:r>
      <w:r>
        <w:rPr>
          <w:rFonts w:ascii="Arial" w:hAnsi="Arial"/>
          <w:i/>
          <w:sz w:val="22"/>
        </w:rPr>
        <w:t>1</w:t>
      </w:r>
      <w:r w:rsidRPr="000F7D4C">
        <w:rPr>
          <w:rFonts w:ascii="Arial" w:hAnsi="Arial"/>
          <w:i/>
          <w:sz w:val="22"/>
        </w:rPr>
        <w:t xml:space="preserve"> –</w:t>
      </w:r>
      <w:r w:rsidRPr="000F7D4C">
        <w:rPr>
          <w:rFonts w:ascii="Arial" w:hAnsi="Arial"/>
          <w:sz w:val="22"/>
        </w:rPr>
        <w:t xml:space="preserve"> Za nejzávažnější hrozbu pro své fungování považují </w:t>
      </w:r>
      <w:r>
        <w:rPr>
          <w:rFonts w:ascii="Arial" w:hAnsi="Arial"/>
          <w:sz w:val="22"/>
        </w:rPr>
        <w:t>nadnárodní společnosti</w:t>
      </w:r>
      <w:r w:rsidR="00570F9A">
        <w:rPr>
          <w:rFonts w:ascii="Arial" w:hAnsi="Arial"/>
          <w:sz w:val="22"/>
        </w:rPr>
        <w:t xml:space="preserve"> i nadále regulační</w:t>
      </w:r>
      <w:r w:rsidRPr="000F7D4C">
        <w:rPr>
          <w:rFonts w:ascii="Arial" w:hAnsi="Arial"/>
          <w:sz w:val="22"/>
        </w:rPr>
        <w:t xml:space="preserve"> opatření a soulad se zákonnými požadavky. Mezi podnikatelská rizika pro rok 2011 se pak nově zařadila sílící role národních vlád. </w:t>
      </w:r>
      <w:r>
        <w:rPr>
          <w:rFonts w:ascii="Arial" w:hAnsi="Arial"/>
          <w:sz w:val="22"/>
        </w:rPr>
        <w:t>Vyplývá to z pravidelného průzkumu</w:t>
      </w:r>
      <w:r w:rsidRPr="000F7D4C">
        <w:rPr>
          <w:rFonts w:ascii="Arial" w:hAnsi="Arial"/>
          <w:sz w:val="22"/>
        </w:rPr>
        <w:t xml:space="preserve"> </w:t>
      </w:r>
      <w:r w:rsidRPr="00193B3F">
        <w:rPr>
          <w:rFonts w:ascii="Arial" w:hAnsi="Arial"/>
          <w:i/>
          <w:sz w:val="22"/>
        </w:rPr>
        <w:t>„Global Business Risk Report“</w:t>
      </w:r>
      <w:r>
        <w:rPr>
          <w:rFonts w:ascii="Arial" w:hAnsi="Arial"/>
          <w:i/>
          <w:sz w:val="22"/>
        </w:rPr>
        <w:t xml:space="preserve"> </w:t>
      </w:r>
      <w:r w:rsidRPr="000F7D4C">
        <w:rPr>
          <w:rFonts w:ascii="Arial" w:hAnsi="Arial"/>
          <w:sz w:val="22"/>
        </w:rPr>
        <w:t>společnost</w:t>
      </w:r>
      <w:r>
        <w:rPr>
          <w:rFonts w:ascii="Arial" w:hAnsi="Arial"/>
          <w:sz w:val="22"/>
        </w:rPr>
        <w:t>i</w:t>
      </w:r>
      <w:r w:rsidRPr="000F7D4C">
        <w:rPr>
          <w:rFonts w:ascii="Arial" w:hAnsi="Arial"/>
          <w:sz w:val="22"/>
        </w:rPr>
        <w:t xml:space="preserve"> Ernst &amp; Young.</w:t>
      </w:r>
      <w:r w:rsidR="00946048">
        <w:rPr>
          <w:rFonts w:ascii="Arial" w:hAnsi="Arial"/>
          <w:sz w:val="22"/>
        </w:rPr>
        <w:t xml:space="preserve"> </w:t>
      </w:r>
      <w:r w:rsidRPr="000F7D4C">
        <w:rPr>
          <w:rFonts w:ascii="Arial" w:hAnsi="Arial"/>
          <w:sz w:val="22"/>
        </w:rPr>
        <w:t>Nejvýznamnější změn</w:t>
      </w:r>
      <w:r w:rsidR="00946048">
        <w:rPr>
          <w:rFonts w:ascii="Arial" w:hAnsi="Arial"/>
          <w:sz w:val="22"/>
        </w:rPr>
        <w:t>ou</w:t>
      </w:r>
      <w:r w:rsidRPr="000F7D4C">
        <w:rPr>
          <w:rFonts w:ascii="Arial" w:hAnsi="Arial"/>
          <w:sz w:val="22"/>
        </w:rPr>
        <w:t xml:space="preserve"> </w:t>
      </w:r>
      <w:r w:rsidR="00946048">
        <w:rPr>
          <w:rFonts w:ascii="Arial" w:hAnsi="Arial"/>
          <w:sz w:val="22"/>
        </w:rPr>
        <w:t>v porovnání</w:t>
      </w:r>
      <w:r w:rsidRPr="000F7D4C">
        <w:rPr>
          <w:rFonts w:ascii="Arial" w:hAnsi="Arial"/>
          <w:sz w:val="22"/>
        </w:rPr>
        <w:t xml:space="preserve"> s rokem 2010 </w:t>
      </w:r>
      <w:r w:rsidR="00946048">
        <w:rPr>
          <w:rFonts w:ascii="Arial" w:hAnsi="Arial"/>
          <w:sz w:val="22"/>
        </w:rPr>
        <w:t>je</w:t>
      </w:r>
      <w:r w:rsidR="00C12D31">
        <w:rPr>
          <w:rFonts w:ascii="Arial" w:hAnsi="Arial"/>
          <w:sz w:val="22"/>
        </w:rPr>
        <w:t xml:space="preserve"> posun rizika</w:t>
      </w:r>
      <w:r w:rsidRPr="000F7D4C">
        <w:rPr>
          <w:rFonts w:ascii="Arial" w:hAnsi="Arial"/>
          <w:sz w:val="22"/>
        </w:rPr>
        <w:t xml:space="preserve"> snižování nákladů o čtyři místa </w:t>
      </w:r>
      <w:r w:rsidR="00C12D31">
        <w:rPr>
          <w:rFonts w:ascii="Arial" w:hAnsi="Arial"/>
          <w:sz w:val="22"/>
        </w:rPr>
        <w:t xml:space="preserve">na </w:t>
      </w:r>
      <w:r w:rsidRPr="000F7D4C">
        <w:rPr>
          <w:rFonts w:ascii="Arial" w:hAnsi="Arial"/>
          <w:sz w:val="22"/>
        </w:rPr>
        <w:t xml:space="preserve">druhou pozici </w:t>
      </w:r>
      <w:r>
        <w:rPr>
          <w:rFonts w:ascii="Arial" w:hAnsi="Arial"/>
          <w:sz w:val="22"/>
        </w:rPr>
        <w:t xml:space="preserve">v žebříčku </w:t>
      </w:r>
      <w:r w:rsidRPr="000F7D4C">
        <w:rPr>
          <w:rFonts w:ascii="Arial" w:hAnsi="Arial"/>
          <w:sz w:val="22"/>
        </w:rPr>
        <w:t>a </w:t>
      </w:r>
      <w:r w:rsidR="00125FA2">
        <w:rPr>
          <w:rFonts w:ascii="Arial" w:hAnsi="Arial"/>
          <w:sz w:val="22"/>
        </w:rPr>
        <w:t xml:space="preserve">související </w:t>
      </w:r>
      <w:r w:rsidR="000F138B">
        <w:rPr>
          <w:rFonts w:ascii="Arial" w:hAnsi="Arial"/>
          <w:sz w:val="22"/>
        </w:rPr>
        <w:t>skok o deset míst na pát</w:t>
      </w:r>
      <w:r w:rsidR="00075EA5">
        <w:rPr>
          <w:rFonts w:ascii="Arial" w:hAnsi="Arial"/>
          <w:sz w:val="22"/>
        </w:rPr>
        <w:t xml:space="preserve">ou příčku </w:t>
      </w:r>
      <w:r w:rsidR="000F138B">
        <w:rPr>
          <w:rFonts w:ascii="Arial" w:hAnsi="Arial"/>
          <w:sz w:val="22"/>
        </w:rPr>
        <w:t xml:space="preserve">v případě </w:t>
      </w:r>
      <w:r w:rsidR="00C12D31">
        <w:rPr>
          <w:rFonts w:ascii="Arial" w:hAnsi="Arial"/>
          <w:sz w:val="22"/>
        </w:rPr>
        <w:t xml:space="preserve">rizika </w:t>
      </w:r>
      <w:r w:rsidR="00946048">
        <w:rPr>
          <w:rFonts w:ascii="Arial" w:hAnsi="Arial"/>
          <w:sz w:val="22"/>
        </w:rPr>
        <w:t>tlak</w:t>
      </w:r>
      <w:r w:rsidR="00C12D31">
        <w:rPr>
          <w:rFonts w:ascii="Arial" w:hAnsi="Arial"/>
          <w:sz w:val="22"/>
        </w:rPr>
        <w:t>u</w:t>
      </w:r>
      <w:r w:rsidRPr="000F7D4C">
        <w:rPr>
          <w:rFonts w:ascii="Arial" w:hAnsi="Arial"/>
          <w:sz w:val="22"/>
        </w:rPr>
        <w:t xml:space="preserve"> na snižování cen.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Default="00CE6D73" w:rsidP="00CE6D73">
      <w:pPr>
        <w:spacing w:line="360" w:lineRule="auto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Jan Fanta</w:t>
      </w:r>
      <w:r w:rsidRPr="000F7D4C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partner p</w:t>
      </w:r>
      <w:r w:rsidRPr="00C27E92">
        <w:rPr>
          <w:rFonts w:ascii="Arial" w:hAnsi="Arial"/>
          <w:sz w:val="22"/>
        </w:rPr>
        <w:t xml:space="preserve">odnikového poradenství a řízení rizik Ernst &amp; Young, </w:t>
      </w:r>
      <w:r w:rsidR="001C223D">
        <w:rPr>
          <w:rFonts w:ascii="Arial" w:hAnsi="Arial"/>
          <w:sz w:val="22"/>
        </w:rPr>
        <w:t>vysvětluje</w:t>
      </w:r>
      <w:r w:rsidRPr="000F7D4C">
        <w:rPr>
          <w:rFonts w:ascii="Arial" w:hAnsi="Arial"/>
          <w:sz w:val="22"/>
        </w:rPr>
        <w:t xml:space="preserve"> důvody, </w:t>
      </w:r>
      <w:r w:rsidR="001C223D">
        <w:rPr>
          <w:rFonts w:ascii="Arial" w:hAnsi="Arial"/>
          <w:sz w:val="22"/>
        </w:rPr>
        <w:t xml:space="preserve">které </w:t>
      </w:r>
      <w:r w:rsidRPr="000F7D4C">
        <w:rPr>
          <w:rFonts w:ascii="Arial" w:hAnsi="Arial"/>
          <w:sz w:val="22"/>
        </w:rPr>
        <w:t xml:space="preserve">zapříčinily, že problematika cen trápí tolik </w:t>
      </w:r>
      <w:r>
        <w:rPr>
          <w:rFonts w:ascii="Arial" w:hAnsi="Arial"/>
          <w:sz w:val="22"/>
        </w:rPr>
        <w:t>společností</w:t>
      </w:r>
      <w:r w:rsidRPr="000F7D4C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Pr="00264D00">
        <w:rPr>
          <w:rFonts w:ascii="Arial" w:hAnsi="Arial"/>
          <w:i/>
          <w:sz w:val="22"/>
        </w:rPr>
        <w:t xml:space="preserve">„Na globálním trhu jsme svědky </w:t>
      </w:r>
      <w:r w:rsidR="00125FA2">
        <w:rPr>
          <w:rFonts w:ascii="Arial" w:hAnsi="Arial"/>
          <w:i/>
          <w:sz w:val="22"/>
        </w:rPr>
        <w:t xml:space="preserve">dále sílící </w:t>
      </w:r>
      <w:r w:rsidRPr="00264D00">
        <w:rPr>
          <w:rFonts w:ascii="Arial" w:hAnsi="Arial"/>
          <w:i/>
          <w:sz w:val="22"/>
        </w:rPr>
        <w:t>konkurence</w:t>
      </w:r>
      <w:r w:rsidR="00125FA2">
        <w:rPr>
          <w:rFonts w:ascii="Arial" w:hAnsi="Arial"/>
          <w:i/>
          <w:sz w:val="22"/>
        </w:rPr>
        <w:t xml:space="preserve"> v</w:t>
      </w:r>
      <w:r w:rsidR="000330B7">
        <w:rPr>
          <w:rFonts w:ascii="Arial" w:hAnsi="Arial"/>
          <w:i/>
          <w:sz w:val="22"/>
        </w:rPr>
        <w:t> </w:t>
      </w:r>
      <w:r w:rsidRPr="00264D00">
        <w:rPr>
          <w:rFonts w:ascii="Arial" w:hAnsi="Arial"/>
          <w:i/>
          <w:sz w:val="22"/>
        </w:rPr>
        <w:t>boj</w:t>
      </w:r>
      <w:r w:rsidR="000330B7">
        <w:rPr>
          <w:rFonts w:ascii="Arial" w:hAnsi="Arial"/>
          <w:i/>
          <w:sz w:val="22"/>
        </w:rPr>
        <w:t>i</w:t>
      </w:r>
      <w:r w:rsidRPr="00264D00">
        <w:rPr>
          <w:rFonts w:ascii="Arial" w:hAnsi="Arial"/>
          <w:i/>
          <w:sz w:val="22"/>
        </w:rPr>
        <w:t xml:space="preserve"> o podíly na trzích</w:t>
      </w:r>
      <w:r w:rsidR="005E11EE">
        <w:rPr>
          <w:rFonts w:ascii="Arial" w:hAnsi="Arial"/>
          <w:i/>
          <w:sz w:val="22"/>
        </w:rPr>
        <w:t>. P</w:t>
      </w:r>
      <w:r w:rsidR="00075EA5">
        <w:rPr>
          <w:rFonts w:ascii="Arial" w:hAnsi="Arial"/>
          <w:i/>
          <w:sz w:val="22"/>
        </w:rPr>
        <w:t>ři</w:t>
      </w:r>
      <w:r w:rsidRPr="00264D00">
        <w:rPr>
          <w:rFonts w:ascii="Arial" w:hAnsi="Arial"/>
          <w:i/>
          <w:sz w:val="22"/>
        </w:rPr>
        <w:t xml:space="preserve"> </w:t>
      </w:r>
      <w:r w:rsidR="00872975">
        <w:rPr>
          <w:rFonts w:ascii="Arial" w:hAnsi="Arial"/>
          <w:i/>
          <w:sz w:val="22"/>
        </w:rPr>
        <w:t xml:space="preserve">současném </w:t>
      </w:r>
      <w:r w:rsidRPr="00264D00">
        <w:rPr>
          <w:rFonts w:ascii="Arial" w:hAnsi="Arial"/>
          <w:i/>
          <w:sz w:val="22"/>
        </w:rPr>
        <w:t>pomalé</w:t>
      </w:r>
      <w:r w:rsidR="00075EA5">
        <w:rPr>
          <w:rFonts w:ascii="Arial" w:hAnsi="Arial"/>
          <w:i/>
          <w:sz w:val="22"/>
        </w:rPr>
        <w:t>m</w:t>
      </w:r>
      <w:r w:rsidRPr="00264D00">
        <w:rPr>
          <w:rFonts w:ascii="Arial" w:hAnsi="Arial"/>
          <w:i/>
          <w:sz w:val="22"/>
        </w:rPr>
        <w:t xml:space="preserve"> růstu vyspělých zemí</w:t>
      </w:r>
      <w:r w:rsidR="00757B11">
        <w:rPr>
          <w:rFonts w:ascii="Arial" w:hAnsi="Arial"/>
          <w:i/>
          <w:sz w:val="22"/>
        </w:rPr>
        <w:t xml:space="preserve"> a </w:t>
      </w:r>
      <w:r w:rsidR="00075EA5">
        <w:rPr>
          <w:rFonts w:ascii="Arial" w:hAnsi="Arial"/>
          <w:i/>
          <w:sz w:val="22"/>
        </w:rPr>
        <w:t>při</w:t>
      </w:r>
      <w:r w:rsidRPr="00264D00">
        <w:rPr>
          <w:rFonts w:ascii="Arial" w:hAnsi="Arial"/>
          <w:i/>
          <w:sz w:val="22"/>
        </w:rPr>
        <w:t xml:space="preserve"> snaze maximálně se prosadit na rozvíjejících se trzích, </w:t>
      </w:r>
      <w:r w:rsidR="00757B11">
        <w:rPr>
          <w:rFonts w:ascii="Arial" w:hAnsi="Arial"/>
          <w:i/>
          <w:sz w:val="22"/>
        </w:rPr>
        <w:t xml:space="preserve">nepředstavuje </w:t>
      </w:r>
      <w:r w:rsidRPr="00264D00">
        <w:rPr>
          <w:rFonts w:ascii="Arial" w:hAnsi="Arial"/>
          <w:i/>
          <w:sz w:val="22"/>
        </w:rPr>
        <w:t>výrazný pos</w:t>
      </w:r>
      <w:r w:rsidR="00125FA2">
        <w:rPr>
          <w:rFonts w:ascii="Arial" w:hAnsi="Arial"/>
          <w:i/>
          <w:sz w:val="22"/>
        </w:rPr>
        <w:t>un</w:t>
      </w:r>
      <w:r w:rsidRPr="00264D00">
        <w:rPr>
          <w:rFonts w:ascii="Arial" w:hAnsi="Arial"/>
          <w:i/>
          <w:sz w:val="22"/>
        </w:rPr>
        <w:t xml:space="preserve"> cenových tlaků </w:t>
      </w:r>
      <w:r w:rsidR="00E85845">
        <w:rPr>
          <w:rFonts w:ascii="Arial" w:hAnsi="Arial"/>
          <w:i/>
          <w:sz w:val="22"/>
        </w:rPr>
        <w:t xml:space="preserve">směrem nahoru </w:t>
      </w:r>
      <w:r w:rsidRPr="00264D00">
        <w:rPr>
          <w:rFonts w:ascii="Arial" w:hAnsi="Arial"/>
          <w:i/>
          <w:sz w:val="22"/>
        </w:rPr>
        <w:t>v sestavovaném žebříčku až takov</w:t>
      </w:r>
      <w:r w:rsidR="00757B11">
        <w:rPr>
          <w:rFonts w:ascii="Arial" w:hAnsi="Arial"/>
          <w:i/>
          <w:sz w:val="22"/>
        </w:rPr>
        <w:t>é překvapení</w:t>
      </w:r>
      <w:r w:rsidRPr="00264D00">
        <w:rPr>
          <w:rFonts w:ascii="Arial" w:hAnsi="Arial"/>
          <w:i/>
          <w:sz w:val="22"/>
        </w:rPr>
        <w:t>.</w:t>
      </w:r>
      <w:r w:rsidRPr="0066443B">
        <w:rPr>
          <w:rFonts w:ascii="Arial" w:hAnsi="Arial"/>
          <w:i/>
          <w:sz w:val="22"/>
        </w:rPr>
        <w:t>“</w:t>
      </w:r>
    </w:p>
    <w:p w:rsidR="00984F64" w:rsidRDefault="00984F64" w:rsidP="00CE6D73">
      <w:pPr>
        <w:spacing w:line="360" w:lineRule="auto"/>
        <w:rPr>
          <w:rFonts w:ascii="Arial" w:hAnsi="Arial"/>
          <w:i/>
          <w:sz w:val="22"/>
        </w:rPr>
      </w:pPr>
    </w:p>
    <w:p w:rsidR="00984F64" w:rsidRPr="000F7D4C" w:rsidRDefault="00984F64" w:rsidP="00984F64">
      <w:p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 xml:space="preserve">Žebříček </w:t>
      </w:r>
      <w:r w:rsidRPr="001E42CB">
        <w:rPr>
          <w:rFonts w:ascii="Arial" w:hAnsi="Arial"/>
          <w:b/>
          <w:sz w:val="22"/>
        </w:rPr>
        <w:t>Top 10 nejzávažnějších podnikatelských rizik pro rok 2011</w:t>
      </w:r>
      <w:r w:rsidRPr="000F7D4C">
        <w:rPr>
          <w:rFonts w:ascii="Arial" w:hAnsi="Arial"/>
          <w:sz w:val="22"/>
        </w:rPr>
        <w:t xml:space="preserve"> z pohledu </w:t>
      </w:r>
      <w:r w:rsidR="00B15AC3">
        <w:rPr>
          <w:rFonts w:ascii="Arial" w:hAnsi="Arial"/>
          <w:sz w:val="22"/>
        </w:rPr>
        <w:t xml:space="preserve">mezinárodních </w:t>
      </w:r>
      <w:r w:rsidRPr="000F7D4C">
        <w:rPr>
          <w:rFonts w:ascii="Arial" w:hAnsi="Arial"/>
          <w:sz w:val="22"/>
        </w:rPr>
        <w:t xml:space="preserve"> společností (v závorce pořadí z roku 2009):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Regulační opatření a </w:t>
      </w:r>
      <w:r>
        <w:rPr>
          <w:rFonts w:ascii="Arial" w:hAnsi="Arial"/>
          <w:sz w:val="22"/>
        </w:rPr>
        <w:t>shoda se zákonnými požadavky (</w:t>
      </w:r>
      <w:r w:rsidRPr="000F7D4C">
        <w:rPr>
          <w:rFonts w:ascii="Arial" w:hAnsi="Arial"/>
          <w:sz w:val="22"/>
        </w:rPr>
        <w:t>compliance</w:t>
      </w:r>
      <w:r w:rsidR="00125FA2">
        <w:rPr>
          <w:rFonts w:ascii="Arial" w:hAnsi="Arial"/>
          <w:sz w:val="22"/>
        </w:rPr>
        <w:t xml:space="preserve"> rizika</w:t>
      </w:r>
      <w:r>
        <w:rPr>
          <w:rFonts w:ascii="Arial" w:hAnsi="Arial"/>
          <w:sz w:val="22"/>
        </w:rPr>
        <w:t>)</w:t>
      </w:r>
      <w:r w:rsidRPr="000F7D4C">
        <w:rPr>
          <w:rFonts w:ascii="Arial" w:hAnsi="Arial"/>
          <w:sz w:val="22"/>
        </w:rPr>
        <w:t xml:space="preserve"> (1)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Snižování nákladů (6)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Pomalé hospodářské oživení/návrat recese (3)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Tržní rizika (nové)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Cenové tlaky (15)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>
        <w:rPr>
          <w:rFonts w:ascii="Arial" w:hAnsi="Arial"/>
          <w:sz w:val="22"/>
        </w:rPr>
        <w:t>Využití potenciálu schopných pracovníků</w:t>
      </w:r>
      <w:r w:rsidRPr="000F7D4C">
        <w:rPr>
          <w:rFonts w:ascii="Arial" w:hAnsi="Arial"/>
          <w:sz w:val="22"/>
        </w:rPr>
        <w:t xml:space="preserve"> (4)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Dostupnost úvěrového financování (2)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Riziko společenské přijatelnosti</w:t>
      </w:r>
      <w:r w:rsidR="00125FA2">
        <w:rPr>
          <w:rFonts w:ascii="Arial" w:hAnsi="Arial"/>
          <w:sz w:val="22"/>
        </w:rPr>
        <w:t xml:space="preserve"> podnikání</w:t>
      </w:r>
      <w:r w:rsidRPr="000F7D4C">
        <w:rPr>
          <w:rFonts w:ascii="Arial" w:hAnsi="Arial"/>
          <w:sz w:val="22"/>
        </w:rPr>
        <w:t xml:space="preserve"> (9)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Posilování role národních vlád (nové)</w:t>
      </w:r>
    </w:p>
    <w:p w:rsidR="00984F64" w:rsidRPr="000F7D4C" w:rsidRDefault="00984F64" w:rsidP="00984F64">
      <w:pPr>
        <w:numPr>
          <w:ilvl w:val="0"/>
          <w:numId w:val="25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Nově vznikající technologie (13)</w:t>
      </w:r>
    </w:p>
    <w:p w:rsidR="00CE6D73" w:rsidRPr="000F7D4C" w:rsidRDefault="00CE6D73" w:rsidP="00CE6D73">
      <w:pPr>
        <w:spacing w:line="360" w:lineRule="auto"/>
        <w:rPr>
          <w:rFonts w:ascii="Arial" w:hAnsi="Arial"/>
        </w:rPr>
      </w:pPr>
      <w:r w:rsidRPr="000F7D4C">
        <w:rPr>
          <w:rFonts w:ascii="Arial" w:hAnsi="Arial"/>
          <w:sz w:val="22"/>
        </w:rPr>
        <w:lastRenderedPageBreak/>
        <w:t xml:space="preserve">Ve výhledu na rok 2011 </w:t>
      </w:r>
      <w:r>
        <w:rPr>
          <w:rFonts w:ascii="Arial" w:hAnsi="Arial"/>
          <w:sz w:val="22"/>
        </w:rPr>
        <w:t xml:space="preserve">se </w:t>
      </w:r>
      <w:r w:rsidRPr="000F7D4C">
        <w:rPr>
          <w:rFonts w:ascii="Arial" w:hAnsi="Arial"/>
          <w:sz w:val="22"/>
        </w:rPr>
        <w:t xml:space="preserve">mezi desítku nejvýznamnějších rizik poprvé </w:t>
      </w:r>
      <w:r>
        <w:rPr>
          <w:rFonts w:ascii="Arial" w:hAnsi="Arial"/>
          <w:sz w:val="22"/>
        </w:rPr>
        <w:t xml:space="preserve">zařadila </w:t>
      </w:r>
      <w:r w:rsidRPr="000F7D4C">
        <w:rPr>
          <w:rFonts w:ascii="Arial" w:hAnsi="Arial"/>
          <w:sz w:val="22"/>
        </w:rPr>
        <w:t xml:space="preserve">tržní rizika. Tento výsledek naznačuje, že všeobecné obavy </w:t>
      </w:r>
      <w:r w:rsidR="00125FA2">
        <w:rPr>
          <w:rFonts w:ascii="Arial" w:hAnsi="Arial"/>
          <w:sz w:val="22"/>
        </w:rPr>
        <w:t xml:space="preserve">například </w:t>
      </w:r>
      <w:r w:rsidRPr="000F7D4C">
        <w:rPr>
          <w:rFonts w:ascii="Arial" w:hAnsi="Arial"/>
          <w:sz w:val="22"/>
        </w:rPr>
        <w:t xml:space="preserve">z vývoje eurozóny sílí a mnoho rizik, která měla původně ryze podnikový charakter, tvoří nyní </w:t>
      </w:r>
      <w:r>
        <w:rPr>
          <w:rFonts w:ascii="Arial" w:hAnsi="Arial"/>
          <w:sz w:val="22"/>
        </w:rPr>
        <w:t xml:space="preserve">samostatnou </w:t>
      </w:r>
      <w:r w:rsidRPr="000F7D4C">
        <w:rPr>
          <w:rFonts w:ascii="Arial" w:hAnsi="Arial"/>
          <w:sz w:val="22"/>
        </w:rPr>
        <w:t xml:space="preserve">kategorii. Účastníci nedávné studie </w:t>
      </w:r>
      <w:r w:rsidRPr="000F7D4C">
        <w:rPr>
          <w:rFonts w:ascii="Arial" w:hAnsi="Arial"/>
          <w:i/>
          <w:sz w:val="22"/>
        </w:rPr>
        <w:t xml:space="preserve">Competing for Growth, </w:t>
      </w:r>
      <w:r w:rsidRPr="000F7D4C">
        <w:rPr>
          <w:rFonts w:ascii="Arial" w:hAnsi="Arial"/>
          <w:sz w:val="22"/>
        </w:rPr>
        <w:t>zpracované společností Ernst &amp; Young, se domnívají, že trhy jsou nyní mnohem rozkolísanější a různorodější než před nástupem finanční krize.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Pr="000F7D4C" w:rsidRDefault="00CE6D73" w:rsidP="00CE6D73">
      <w:pPr>
        <w:spacing w:line="360" w:lineRule="auto"/>
        <w:rPr>
          <w:rFonts w:ascii="Arial" w:hAnsi="Arial"/>
        </w:rPr>
      </w:pPr>
      <w:r w:rsidRPr="000F7D4C">
        <w:rPr>
          <w:rFonts w:ascii="Arial" w:hAnsi="Arial"/>
          <w:sz w:val="22"/>
        </w:rPr>
        <w:t xml:space="preserve">Dosažitelnost úvěru klesla z druhého nejvýznamnějšího rizika v roce 2010 na sedmou příčku, z čehož vyplývá určité zlepšení podmínek pro získávání </w:t>
      </w:r>
      <w:r w:rsidR="00125FA2">
        <w:rPr>
          <w:rFonts w:ascii="Arial" w:hAnsi="Arial"/>
          <w:sz w:val="22"/>
        </w:rPr>
        <w:t>financování</w:t>
      </w:r>
      <w:r w:rsidRPr="000F7D4C">
        <w:rPr>
          <w:rFonts w:ascii="Arial" w:hAnsi="Arial"/>
          <w:sz w:val="22"/>
        </w:rPr>
        <w:t xml:space="preserve">. Stále zde však existují jistá omezení a budoucí vývoj nelze přesně odhadnout. Zpráva v této souvislosti </w:t>
      </w:r>
      <w:r w:rsidR="00C94D5A" w:rsidRPr="000F7D4C">
        <w:rPr>
          <w:rFonts w:ascii="Arial" w:hAnsi="Arial"/>
          <w:sz w:val="22"/>
        </w:rPr>
        <w:t xml:space="preserve">označuje udržování </w:t>
      </w:r>
      <w:r w:rsidR="00C94D5A">
        <w:rPr>
          <w:rFonts w:ascii="Arial" w:hAnsi="Arial"/>
          <w:sz w:val="22"/>
        </w:rPr>
        <w:t xml:space="preserve">velmi dobrých </w:t>
      </w:r>
      <w:r w:rsidR="00C94D5A" w:rsidRPr="000F7D4C">
        <w:rPr>
          <w:rFonts w:ascii="Arial" w:hAnsi="Arial"/>
          <w:sz w:val="22"/>
        </w:rPr>
        <w:t xml:space="preserve">vztahů </w:t>
      </w:r>
      <w:r w:rsidR="00C94D5A">
        <w:rPr>
          <w:rFonts w:ascii="Arial" w:hAnsi="Arial"/>
          <w:sz w:val="22"/>
        </w:rPr>
        <w:t>s investory</w:t>
      </w:r>
      <w:r w:rsidR="00C94D5A" w:rsidRPr="000F7D4C">
        <w:rPr>
          <w:rFonts w:ascii="Arial" w:hAnsi="Arial"/>
          <w:sz w:val="22"/>
        </w:rPr>
        <w:t xml:space="preserve"> </w:t>
      </w:r>
      <w:r w:rsidRPr="000F7D4C">
        <w:rPr>
          <w:rFonts w:ascii="Arial" w:hAnsi="Arial"/>
          <w:sz w:val="22"/>
        </w:rPr>
        <w:t xml:space="preserve">za jednu z deseti nejvýraznějších příležitostí rozvoje globálně působících podniků. Při nedostatku úvěrů </w:t>
      </w:r>
      <w:r w:rsidR="00C94D5A">
        <w:rPr>
          <w:rFonts w:ascii="Arial" w:hAnsi="Arial"/>
          <w:sz w:val="22"/>
        </w:rPr>
        <w:t xml:space="preserve">je pro společnosti </w:t>
      </w:r>
      <w:r w:rsidR="00C94D5A" w:rsidRPr="000F7D4C">
        <w:rPr>
          <w:rFonts w:ascii="Arial" w:hAnsi="Arial"/>
          <w:sz w:val="22"/>
        </w:rPr>
        <w:t xml:space="preserve">více než žádoucí </w:t>
      </w:r>
      <w:r w:rsidR="00C94D5A">
        <w:rPr>
          <w:rFonts w:ascii="Arial" w:hAnsi="Arial"/>
          <w:sz w:val="22"/>
        </w:rPr>
        <w:t xml:space="preserve">mít otevřené </w:t>
      </w:r>
      <w:r w:rsidR="00125FA2">
        <w:rPr>
          <w:rFonts w:ascii="Arial" w:hAnsi="Arial"/>
          <w:sz w:val="22"/>
        </w:rPr>
        <w:t xml:space="preserve">možnosti použít také </w:t>
      </w:r>
      <w:r w:rsidR="00C94D5A">
        <w:rPr>
          <w:rFonts w:ascii="Arial" w:hAnsi="Arial"/>
          <w:sz w:val="22"/>
        </w:rPr>
        <w:t>jiné druhy financování</w:t>
      </w:r>
      <w:r w:rsidRPr="000F7D4C">
        <w:rPr>
          <w:rFonts w:ascii="Arial" w:hAnsi="Arial"/>
          <w:sz w:val="22"/>
        </w:rPr>
        <w:t>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Pr="000F7D4C" w:rsidRDefault="00CE6D73" w:rsidP="00CE6D73">
      <w:pPr>
        <w:spacing w:line="360" w:lineRule="auto"/>
        <w:rPr>
          <w:rFonts w:ascii="Arial" w:hAnsi="Arial"/>
          <w:b/>
          <w:sz w:val="22"/>
        </w:rPr>
      </w:pPr>
      <w:r w:rsidRPr="000F7D4C">
        <w:rPr>
          <w:rFonts w:ascii="Arial" w:hAnsi="Arial"/>
          <w:b/>
          <w:sz w:val="22"/>
        </w:rPr>
        <w:t>Podnikatelské příležitosti pro rok 2011</w:t>
      </w:r>
    </w:p>
    <w:p w:rsidR="00CE6D73" w:rsidRPr="000F7D4C" w:rsidRDefault="00CE6D73" w:rsidP="00CE6D73">
      <w:pPr>
        <w:spacing w:line="360" w:lineRule="auto"/>
        <w:rPr>
          <w:rFonts w:ascii="Arial" w:hAnsi="Arial"/>
          <w:sz w:val="22"/>
        </w:rPr>
      </w:pPr>
      <w:r w:rsidRPr="000F7D4C">
        <w:rPr>
          <w:rFonts w:ascii="Arial" w:hAnsi="Arial"/>
          <w:sz w:val="22"/>
        </w:rPr>
        <w:t>Vzhledem k předpokládanému tempu růstu je celkem logické, že pozici nejčastěji zmiňované podnikatelské příležitosti pro rok 2011 zaujal růst poptávky v rámci rozvíjejících se trhů.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Pr="008543D1" w:rsidRDefault="00CE6D73" w:rsidP="00CE6D73">
      <w:pPr>
        <w:spacing w:line="360" w:lineRule="auto"/>
        <w:rPr>
          <w:rFonts w:ascii="Arial" w:hAnsi="Arial"/>
          <w:i/>
        </w:rPr>
      </w:pPr>
      <w:r>
        <w:rPr>
          <w:rFonts w:ascii="Arial" w:hAnsi="Arial"/>
          <w:sz w:val="22"/>
        </w:rPr>
        <w:t>Jan Fanta</w:t>
      </w:r>
      <w:r w:rsidRPr="000F7D4C">
        <w:rPr>
          <w:rFonts w:ascii="Arial" w:hAnsi="Arial"/>
          <w:sz w:val="22"/>
        </w:rPr>
        <w:t xml:space="preserve"> k tomu dodává: </w:t>
      </w:r>
      <w:r w:rsidRPr="008543D1">
        <w:rPr>
          <w:rFonts w:ascii="Arial" w:hAnsi="Arial"/>
          <w:i/>
          <w:sz w:val="22"/>
        </w:rPr>
        <w:t xml:space="preserve">„Rozvíjející se trhy </w:t>
      </w:r>
      <w:r>
        <w:rPr>
          <w:rFonts w:ascii="Arial" w:hAnsi="Arial"/>
          <w:i/>
          <w:sz w:val="22"/>
        </w:rPr>
        <w:t xml:space="preserve">představují </w:t>
      </w:r>
      <w:r w:rsidR="00125FA2">
        <w:rPr>
          <w:rFonts w:ascii="Arial" w:hAnsi="Arial"/>
          <w:i/>
          <w:sz w:val="22"/>
        </w:rPr>
        <w:t xml:space="preserve">v současné době největší </w:t>
      </w:r>
      <w:r w:rsidRPr="008543D1">
        <w:rPr>
          <w:rFonts w:ascii="Arial" w:hAnsi="Arial"/>
          <w:i/>
          <w:sz w:val="22"/>
        </w:rPr>
        <w:t xml:space="preserve">potenciál pro růst, zejména pak pro státy, jejichž hospodářství je založené na exportu nejrůznějších komodit, ale také pro </w:t>
      </w:r>
      <w:r w:rsidR="00125FA2">
        <w:rPr>
          <w:rFonts w:ascii="Arial" w:hAnsi="Arial"/>
          <w:i/>
          <w:sz w:val="22"/>
        </w:rPr>
        <w:t xml:space="preserve">některé </w:t>
      </w:r>
      <w:r w:rsidRPr="008543D1">
        <w:rPr>
          <w:rFonts w:ascii="Arial" w:hAnsi="Arial"/>
          <w:i/>
          <w:sz w:val="22"/>
        </w:rPr>
        <w:t>vyspěl</w:t>
      </w:r>
      <w:r w:rsidR="00125FA2">
        <w:rPr>
          <w:rFonts w:ascii="Arial" w:hAnsi="Arial"/>
          <w:i/>
          <w:sz w:val="22"/>
        </w:rPr>
        <w:t>é</w:t>
      </w:r>
      <w:r w:rsidRPr="008543D1">
        <w:rPr>
          <w:rFonts w:ascii="Arial" w:hAnsi="Arial"/>
          <w:i/>
          <w:sz w:val="22"/>
        </w:rPr>
        <w:t xml:space="preserve"> tržní ekonomik</w:t>
      </w:r>
      <w:r w:rsidR="00125FA2">
        <w:rPr>
          <w:rFonts w:ascii="Arial" w:hAnsi="Arial"/>
          <w:i/>
          <w:sz w:val="22"/>
        </w:rPr>
        <w:t>y</w:t>
      </w:r>
      <w:r w:rsidRPr="008543D1">
        <w:rPr>
          <w:rFonts w:ascii="Arial" w:hAnsi="Arial"/>
          <w:i/>
          <w:sz w:val="22"/>
        </w:rPr>
        <w:t xml:space="preserve">, které v exportu </w:t>
      </w:r>
      <w:r w:rsidR="002F3CF1">
        <w:rPr>
          <w:rFonts w:ascii="Arial" w:hAnsi="Arial"/>
          <w:i/>
          <w:sz w:val="22"/>
        </w:rPr>
        <w:t>vidí</w:t>
      </w:r>
      <w:r w:rsidRPr="008543D1">
        <w:rPr>
          <w:rFonts w:ascii="Arial" w:hAnsi="Arial"/>
          <w:i/>
          <w:sz w:val="22"/>
        </w:rPr>
        <w:t xml:space="preserve"> lék na vlastní ekonomickou situaci a </w:t>
      </w:r>
      <w:r w:rsidR="00406FC7">
        <w:rPr>
          <w:rFonts w:ascii="Arial" w:hAnsi="Arial"/>
          <w:i/>
          <w:sz w:val="22"/>
        </w:rPr>
        <w:t xml:space="preserve">řešení </w:t>
      </w:r>
      <w:r w:rsidRPr="008543D1">
        <w:rPr>
          <w:rFonts w:ascii="Arial" w:hAnsi="Arial"/>
          <w:i/>
          <w:sz w:val="22"/>
        </w:rPr>
        <w:t>oslabující měny.“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Pr="000F7D4C" w:rsidRDefault="00CE6D73" w:rsidP="00CE6D73">
      <w:pPr>
        <w:spacing w:line="360" w:lineRule="auto"/>
        <w:rPr>
          <w:rFonts w:ascii="Arial" w:hAnsi="Arial"/>
          <w:sz w:val="22"/>
        </w:rPr>
      </w:pPr>
      <w:r w:rsidRPr="000F7D4C">
        <w:rPr>
          <w:rFonts w:ascii="Arial" w:hAnsi="Arial"/>
          <w:sz w:val="22"/>
        </w:rPr>
        <w:t>Inovace v oblasti produktů, služeb a provoz</w:t>
      </w:r>
      <w:r w:rsidR="00125FA2">
        <w:rPr>
          <w:rFonts w:ascii="Arial" w:hAnsi="Arial"/>
          <w:sz w:val="22"/>
        </w:rPr>
        <w:t>u</w:t>
      </w:r>
      <w:r w:rsidRPr="000F7D4C">
        <w:rPr>
          <w:rFonts w:ascii="Arial" w:hAnsi="Arial"/>
          <w:sz w:val="22"/>
        </w:rPr>
        <w:t xml:space="preserve"> spolu s důslednějším uplatňováním strategie pro jednotlivé činnosti podniku se umístily na druhém, respektive třetím místě mezi nejvýznamnějšími podnikatelskými příležitostmi pro rok 2011. Tento trend je důkazem obnoveného zájmu o posilování konkurenceschopnosti a růstu na počátku nastupujícího roku.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sz w:val="22"/>
        </w:rPr>
      </w:pPr>
    </w:p>
    <w:p w:rsidR="00CE6D73" w:rsidRPr="000F7D4C" w:rsidRDefault="00CE6D73" w:rsidP="00CE6D73">
      <w:pPr>
        <w:spacing w:line="360" w:lineRule="auto"/>
        <w:rPr>
          <w:rFonts w:ascii="Arial" w:hAnsi="Arial"/>
          <w:sz w:val="22"/>
        </w:rPr>
      </w:pPr>
      <w:r w:rsidRPr="000F7D4C">
        <w:rPr>
          <w:rFonts w:ascii="Arial" w:hAnsi="Arial"/>
          <w:sz w:val="22"/>
        </w:rPr>
        <w:t>Ostatní příležitosti, jimž podniky s ohledem na budoucí vývoj přikládají důležitost, zahrnují prosazování čist</w:t>
      </w:r>
      <w:r w:rsidR="00125FA2">
        <w:rPr>
          <w:rFonts w:ascii="Arial" w:hAnsi="Arial"/>
          <w:sz w:val="22"/>
        </w:rPr>
        <w:t>ějších</w:t>
      </w:r>
      <w:r w:rsidR="00FD3C9E">
        <w:rPr>
          <w:rFonts w:ascii="Arial" w:hAnsi="Arial"/>
          <w:sz w:val="22"/>
        </w:rPr>
        <w:t xml:space="preserve"> (zelených)</w:t>
      </w:r>
      <w:r w:rsidRPr="000F7D4C">
        <w:rPr>
          <w:rFonts w:ascii="Arial" w:hAnsi="Arial"/>
          <w:sz w:val="22"/>
        </w:rPr>
        <w:t xml:space="preserve"> technologií, nové marketingové kanály vytvářené sociálními </w:t>
      </w:r>
      <w:r w:rsidR="00125FA2">
        <w:rPr>
          <w:rFonts w:ascii="Arial" w:hAnsi="Arial"/>
          <w:sz w:val="22"/>
        </w:rPr>
        <w:t>sítěmi</w:t>
      </w:r>
      <w:r w:rsidRPr="000F7D4C">
        <w:rPr>
          <w:rFonts w:ascii="Arial" w:hAnsi="Arial"/>
          <w:sz w:val="22"/>
        </w:rPr>
        <w:t xml:space="preserve"> a rozvoj partnerství veřejného a soukromého sektoru.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i/>
          <w:sz w:val="22"/>
        </w:rPr>
      </w:pPr>
    </w:p>
    <w:p w:rsidR="00CE6D73" w:rsidRPr="00984F64" w:rsidRDefault="00CE6D73" w:rsidP="00CE6D73">
      <w:pPr>
        <w:spacing w:line="360" w:lineRule="auto"/>
        <w:rPr>
          <w:rFonts w:ascii="Arial" w:hAnsi="Arial"/>
          <w:b/>
          <w:noProof/>
          <w:sz w:val="22"/>
        </w:rPr>
      </w:pPr>
      <w:r w:rsidRPr="000F7D4C">
        <w:rPr>
          <w:rFonts w:ascii="Arial" w:hAnsi="Arial"/>
          <w:sz w:val="22"/>
        </w:rPr>
        <w:t xml:space="preserve">Žebříček </w:t>
      </w:r>
      <w:r w:rsidR="00984F64" w:rsidRPr="001E42CB">
        <w:rPr>
          <w:rFonts w:ascii="Arial" w:hAnsi="Arial"/>
          <w:b/>
          <w:sz w:val="22"/>
        </w:rPr>
        <w:t>Top 10 globálních podnikatelských příležitost</w:t>
      </w:r>
      <w:r w:rsidR="00984F64">
        <w:rPr>
          <w:rFonts w:ascii="Arial" w:hAnsi="Arial"/>
          <w:b/>
          <w:sz w:val="22"/>
        </w:rPr>
        <w:t xml:space="preserve">í </w:t>
      </w:r>
      <w:r w:rsidRPr="001E42CB">
        <w:rPr>
          <w:rFonts w:ascii="Arial" w:hAnsi="Arial"/>
          <w:b/>
          <w:sz w:val="22"/>
        </w:rPr>
        <w:t>pro rok 2011</w:t>
      </w:r>
      <w:r w:rsidRPr="000F7D4C">
        <w:rPr>
          <w:rFonts w:ascii="Arial" w:hAnsi="Arial"/>
          <w:sz w:val="22"/>
        </w:rPr>
        <w:t xml:space="preserve"> z pohledu celosvětově působících společností</w:t>
      </w:r>
      <w:r w:rsidR="00B04A84">
        <w:rPr>
          <w:rFonts w:ascii="Arial" w:hAnsi="Arial"/>
          <w:sz w:val="22"/>
        </w:rPr>
        <w:t>: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Růst poptávky v rámci rozvíjejících se trhů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Inovace v oblasti produktů, služeb a provoz</w:t>
      </w:r>
      <w:r w:rsidR="00125FA2">
        <w:rPr>
          <w:rFonts w:ascii="Arial" w:hAnsi="Arial"/>
          <w:sz w:val="22"/>
        </w:rPr>
        <w:t>u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Důslednější uplatňování strategie pro jednotlivé činnosti podniku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Investice do IT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lastRenderedPageBreak/>
        <w:t>Investice do čistých technologií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Investice do procesů, nástrojů a školení pro dosažení vyšší produktivity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Fúze a akvizice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Nové marketingové kanály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Partnerství veřejného a soukromého sektoru</w:t>
      </w:r>
    </w:p>
    <w:p w:rsidR="00CE6D73" w:rsidRPr="000F7D4C" w:rsidRDefault="00CE6D73" w:rsidP="00CE6D73">
      <w:pPr>
        <w:numPr>
          <w:ilvl w:val="0"/>
          <w:numId w:val="26"/>
        </w:numPr>
        <w:spacing w:line="360" w:lineRule="auto"/>
        <w:rPr>
          <w:rFonts w:ascii="Arial" w:hAnsi="Arial"/>
          <w:noProof/>
          <w:sz w:val="22"/>
        </w:rPr>
      </w:pPr>
      <w:r w:rsidRPr="000F7D4C">
        <w:rPr>
          <w:rFonts w:ascii="Arial" w:hAnsi="Arial"/>
          <w:sz w:val="22"/>
        </w:rPr>
        <w:t>Udržování vztahů s investory</w:t>
      </w:r>
    </w:p>
    <w:p w:rsidR="00CE6D73" w:rsidRPr="000F7D4C" w:rsidRDefault="00CE6D73" w:rsidP="00CE6D73">
      <w:pPr>
        <w:spacing w:line="360" w:lineRule="auto"/>
        <w:rPr>
          <w:rFonts w:ascii="Arial" w:hAnsi="Arial" w:cs="Arial"/>
          <w:noProof/>
          <w:sz w:val="22"/>
          <w:lang w:eastAsia="en-GB"/>
        </w:rPr>
      </w:pPr>
    </w:p>
    <w:p w:rsidR="00CE6D73" w:rsidRPr="00984F64" w:rsidRDefault="00984F64" w:rsidP="00984F64">
      <w:pPr>
        <w:pStyle w:val="EYBodytextwithparaspace"/>
        <w:spacing w:after="0"/>
        <w:ind w:right="-85"/>
        <w:rPr>
          <w:b/>
          <w:sz w:val="18"/>
          <w:szCs w:val="18"/>
          <w:lang w:val="cs-CZ"/>
        </w:rPr>
      </w:pPr>
      <w:r>
        <w:rPr>
          <w:b/>
          <w:sz w:val="18"/>
          <w:szCs w:val="18"/>
          <w:lang w:val="cs-CZ"/>
        </w:rPr>
        <w:t>O průzkumu</w:t>
      </w:r>
    </w:p>
    <w:p w:rsidR="00CE6D73" w:rsidRPr="00984F64" w:rsidRDefault="00CE6D73" w:rsidP="00CE6D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84F64">
        <w:rPr>
          <w:rFonts w:ascii="Arial" w:hAnsi="Arial" w:cs="Arial"/>
          <w:sz w:val="18"/>
          <w:szCs w:val="18"/>
        </w:rPr>
        <w:t xml:space="preserve">V rámci studie, jejímž vypracováním byla pověřena společnost Oxford Analytica, bylo požádáno více než 75 vedoucích pracovníků a analytiků ze sedmi různých odvětví, aby podle svého uvážení ohodnotili deset nejvýraznějších podnikatelských příležitostí a rizik pro rok 2011. Mezi dotazovanými </w:t>
      </w:r>
      <w:r w:rsidR="002F3CF1">
        <w:rPr>
          <w:rFonts w:ascii="Arial" w:hAnsi="Arial" w:cs="Arial"/>
          <w:sz w:val="18"/>
          <w:szCs w:val="18"/>
        </w:rPr>
        <w:t xml:space="preserve">byli </w:t>
      </w:r>
      <w:r w:rsidRPr="00984F64">
        <w:rPr>
          <w:rFonts w:ascii="Arial" w:hAnsi="Arial" w:cs="Arial"/>
          <w:sz w:val="18"/>
          <w:szCs w:val="18"/>
        </w:rPr>
        <w:t>pracovníci odpovědní za strategické plánování, řízení rizik, členové představenstev společností, ředitelé obchodních jednotek, akademici, nezávislí poradci i odborníci ze společnosti Ernst &amp; Young.</w:t>
      </w:r>
    </w:p>
    <w:p w:rsidR="00CE6D73" w:rsidRPr="00984F64" w:rsidRDefault="00CE6D73" w:rsidP="00CE6D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E6D73" w:rsidRPr="00984F64" w:rsidRDefault="00CE6D73" w:rsidP="00CE6D7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84F64">
        <w:rPr>
          <w:rFonts w:ascii="Arial" w:hAnsi="Arial" w:cs="Arial"/>
          <w:sz w:val="18"/>
          <w:szCs w:val="18"/>
        </w:rPr>
        <w:t>Jednotlivá hodnocení byla ses</w:t>
      </w:r>
      <w:r w:rsidR="002F3CF1">
        <w:rPr>
          <w:rFonts w:ascii="Arial" w:hAnsi="Arial" w:cs="Arial"/>
          <w:sz w:val="18"/>
          <w:szCs w:val="18"/>
        </w:rPr>
        <w:t>tavena</w:t>
      </w:r>
      <w:r w:rsidRPr="00984F64">
        <w:rPr>
          <w:rFonts w:ascii="Arial" w:hAnsi="Arial" w:cs="Arial"/>
          <w:sz w:val="18"/>
          <w:szCs w:val="18"/>
        </w:rPr>
        <w:t xml:space="preserve"> dle odvětví a z každé skupiny byl následně sestaven žebříček Top 10, resp. celkové pořadí rizik a příležitostí pro každý sektor. Globální žebříček Top 10 pak tvoří příležitosti a rizika, jejichž dopady byly hodnoceny jako nejzásadnější v nejvyšším počtu odvětví.</w:t>
      </w:r>
    </w:p>
    <w:p w:rsidR="004418CB" w:rsidRDefault="004418CB" w:rsidP="005E5E00">
      <w:pPr>
        <w:pStyle w:val="EYBodytextwithparaspace"/>
        <w:spacing w:after="0"/>
        <w:rPr>
          <w:b/>
          <w:lang w:val="cs-CZ"/>
        </w:rPr>
      </w:pPr>
    </w:p>
    <w:p w:rsidR="005E5E00" w:rsidRDefault="005E5E00" w:rsidP="005E5E00">
      <w:pPr>
        <w:pStyle w:val="EYBodytextwithparaspace"/>
        <w:spacing w:after="0"/>
        <w:rPr>
          <w:sz w:val="16"/>
          <w:szCs w:val="16"/>
          <w:lang w:val="cs-CZ"/>
        </w:rPr>
      </w:pPr>
    </w:p>
    <w:p w:rsidR="00E16959" w:rsidRPr="002F3AFA" w:rsidRDefault="00E16959" w:rsidP="00E16959">
      <w:pPr>
        <w:pStyle w:val="EYBodytextwithparaspace"/>
        <w:spacing w:after="0"/>
        <w:ind w:right="-85"/>
        <w:rPr>
          <w:b/>
          <w:sz w:val="18"/>
          <w:szCs w:val="18"/>
          <w:lang w:val="cs-CZ"/>
        </w:rPr>
      </w:pPr>
      <w:r w:rsidRPr="002F3AFA">
        <w:rPr>
          <w:b/>
          <w:sz w:val="18"/>
          <w:szCs w:val="18"/>
          <w:lang w:val="cs-CZ"/>
        </w:rPr>
        <w:t>Informace o Ernst &amp; Young</w:t>
      </w: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2F3AFA">
        <w:rPr>
          <w:rFonts w:ascii="Arial" w:hAnsi="Arial" w:cs="Arial"/>
          <w:sz w:val="18"/>
          <w:szCs w:val="18"/>
        </w:rPr>
        <w:t>Ernst &amp; Young patří mezi nejvýznamnější celosvětové firmy poskytující odborné poradenské služby v oblasti auditu a daňového, transakčního a podnikového poradenství. Naši odborníci, jichž po celém světě působí 14</w:t>
      </w:r>
      <w:r w:rsidR="00B67F1B">
        <w:rPr>
          <w:rFonts w:ascii="Arial" w:hAnsi="Arial" w:cs="Arial"/>
          <w:sz w:val="18"/>
          <w:szCs w:val="18"/>
        </w:rPr>
        <w:t>1</w:t>
      </w:r>
      <w:r w:rsidRPr="002F3AFA">
        <w:rPr>
          <w:rFonts w:ascii="Arial" w:hAnsi="Arial" w:cs="Arial"/>
          <w:sz w:val="18"/>
          <w:szCs w:val="18"/>
        </w:rPr>
        <w:t xml:space="preserve"> 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E16959" w:rsidRPr="002F3AFA" w:rsidRDefault="00E16959" w:rsidP="00E16959">
      <w:pPr>
        <w:ind w:right="-85"/>
        <w:rPr>
          <w:rFonts w:ascii="Arial" w:hAnsi="Arial" w:cs="Arial"/>
          <w:sz w:val="18"/>
          <w:szCs w:val="18"/>
        </w:rPr>
      </w:pPr>
    </w:p>
    <w:p w:rsidR="00E16959" w:rsidRDefault="00E16959" w:rsidP="00E16959">
      <w:pPr>
        <w:ind w:right="-85"/>
        <w:rPr>
          <w:rFonts w:ascii="Arial" w:hAnsi="Arial" w:cs="Arial"/>
          <w:sz w:val="18"/>
          <w:szCs w:val="18"/>
        </w:rPr>
      </w:pPr>
      <w:r w:rsidRPr="002F3AFA">
        <w:rPr>
          <w:rFonts w:ascii="Arial" w:hAnsi="Arial" w:cs="Arial"/>
          <w:i/>
          <w:kern w:val="12"/>
          <w:sz w:val="18"/>
          <w:szCs w:val="18"/>
        </w:rPr>
        <w:t>Název Ernst &amp; Young zahrnuje všechny společnosti celosvětové organizace, jejíž řídící společností je britská Ernst &amp; Young Global Limited. Každá z členských společností má vlastní právní subjektivitu. Ernst &amp; Young Global Limited neposkytuje své služby přímo klientům.</w:t>
      </w:r>
      <w:r w:rsidRPr="002F3AFA"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7" w:history="1">
        <w:r w:rsidRPr="002F3AFA">
          <w:rPr>
            <w:rStyle w:val="Hyperlink"/>
            <w:rFonts w:ascii="Arial" w:hAnsi="Arial" w:cs="Arial"/>
            <w:color w:val="auto"/>
            <w:sz w:val="18"/>
            <w:szCs w:val="18"/>
          </w:rPr>
          <w:t>www.ey.com/cz</w:t>
        </w:r>
      </w:hyperlink>
      <w:r w:rsidRPr="002F3AFA">
        <w:rPr>
          <w:rFonts w:ascii="Arial" w:hAnsi="Arial" w:cs="Arial"/>
          <w:sz w:val="18"/>
          <w:szCs w:val="18"/>
        </w:rPr>
        <w:t>.</w:t>
      </w:r>
    </w:p>
    <w:p w:rsidR="008A2E38" w:rsidRDefault="008A2E38" w:rsidP="00E16959">
      <w:pPr>
        <w:ind w:right="-85"/>
        <w:rPr>
          <w:rFonts w:ascii="Arial" w:hAnsi="Arial" w:cs="Arial"/>
          <w:sz w:val="18"/>
          <w:szCs w:val="18"/>
        </w:rPr>
      </w:pPr>
    </w:p>
    <w:p w:rsidR="008A2E38" w:rsidRDefault="008A2E38" w:rsidP="00E16959">
      <w:pPr>
        <w:ind w:right="-85"/>
        <w:rPr>
          <w:rFonts w:ascii="Arial" w:hAnsi="Arial" w:cs="Arial"/>
          <w:sz w:val="18"/>
          <w:szCs w:val="18"/>
        </w:rPr>
      </w:pPr>
    </w:p>
    <w:sectPr w:rsidR="008A2E38" w:rsidSect="00E27029">
      <w:headerReference w:type="default" r:id="rId8"/>
      <w:headerReference w:type="first" r:id="rId9"/>
      <w:footerReference w:type="first" r:id="rId10"/>
      <w:pgSz w:w="11907" w:h="16840" w:code="9"/>
      <w:pgMar w:top="2336" w:right="850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CF" w:rsidRDefault="009E5FCF">
      <w:r>
        <w:separator/>
      </w:r>
    </w:p>
  </w:endnote>
  <w:endnote w:type="continuationSeparator" w:id="0">
    <w:p w:rsidR="009E5FCF" w:rsidRDefault="009E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EYInterstate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1" w:rsidRDefault="0021446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C12D31" w:rsidRDefault="00C12D31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CF" w:rsidRDefault="009E5FCF">
      <w:r>
        <w:separator/>
      </w:r>
    </w:p>
  </w:footnote>
  <w:footnote w:type="continuationSeparator" w:id="0">
    <w:p w:rsidR="009E5FCF" w:rsidRDefault="009E5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1" w:rsidRDefault="00C12D31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4" name="obrázek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D31" w:rsidRDefault="00C12D31">
    <w:pPr>
      <w:pStyle w:val="EYBusinessaddressbold"/>
      <w:ind w:firstLine="6579"/>
      <w:rPr>
        <w:rFonts w:ascii="Arial" w:hAnsi="Arial" w:cs="Arial"/>
        <w:szCs w:val="15"/>
      </w:rPr>
    </w:pPr>
  </w:p>
  <w:p w:rsidR="00C12D31" w:rsidRDefault="00C12D31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C12D31" w:rsidRDefault="00C12D31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C12D31" w:rsidRDefault="00C12D31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C12D31" w:rsidRDefault="00C12D31">
    <w:pPr>
      <w:pStyle w:val="EYBusinessaddress"/>
      <w:ind w:firstLine="6579"/>
      <w:rPr>
        <w:lang w:val="de-DE"/>
      </w:rPr>
    </w:pPr>
    <w:r>
      <w:rPr>
        <w:lang w:val="de-DE"/>
      </w:rPr>
      <w:t>www.ey.com/cz</w:t>
    </w:r>
  </w:p>
  <w:p w:rsidR="00C12D31" w:rsidRDefault="00C12D31">
    <w:pPr>
      <w:pStyle w:val="Header"/>
      <w:tabs>
        <w:tab w:val="left" w:pos="6537"/>
      </w:tabs>
      <w:rPr>
        <w:lang w:val="de-DE"/>
      </w:rPr>
    </w:pPr>
  </w:p>
  <w:p w:rsidR="00C12D31" w:rsidRDefault="00C12D31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31" w:rsidRDefault="00C12D31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3" name="obrázek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D31" w:rsidRDefault="00C12D31">
    <w:pPr>
      <w:pStyle w:val="EYBusinessaddressbold"/>
      <w:ind w:firstLine="6579"/>
      <w:rPr>
        <w:rFonts w:ascii="Arial" w:hAnsi="Arial" w:cs="Arial"/>
        <w:szCs w:val="15"/>
      </w:rPr>
    </w:pPr>
  </w:p>
  <w:p w:rsidR="00C12D31" w:rsidRDefault="00C12D31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C12D31" w:rsidRDefault="00C12D31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C12D31" w:rsidRDefault="00C12D31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C12D31" w:rsidRDefault="00C12D31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019"/>
    <w:multiLevelType w:val="hybridMultilevel"/>
    <w:tmpl w:val="8BB8A56E"/>
    <w:lvl w:ilvl="0" w:tplc="214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B70A9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8AAF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3BA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BCA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9E4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EB20D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22F8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1B78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">
    <w:nsid w:val="080719F3"/>
    <w:multiLevelType w:val="hybridMultilevel"/>
    <w:tmpl w:val="7F8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1A84"/>
    <w:multiLevelType w:val="hybridMultilevel"/>
    <w:tmpl w:val="75A6E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971"/>
    <w:multiLevelType w:val="hybridMultilevel"/>
    <w:tmpl w:val="80B40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B7AD4"/>
    <w:multiLevelType w:val="hybridMultilevel"/>
    <w:tmpl w:val="D270C86A"/>
    <w:lvl w:ilvl="0" w:tplc="F07698B2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34549"/>
    <w:multiLevelType w:val="singleLevel"/>
    <w:tmpl w:val="DE423576"/>
    <w:lvl w:ilvl="0">
      <w:start w:val="1"/>
      <w:numFmt w:val="bullet"/>
      <w:lvlRestart w:val="0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</w:abstractNum>
  <w:abstractNum w:abstractNumId="6">
    <w:nsid w:val="2B6B6291"/>
    <w:multiLevelType w:val="multilevel"/>
    <w:tmpl w:val="32F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76E4A"/>
    <w:multiLevelType w:val="hybridMultilevel"/>
    <w:tmpl w:val="93C4548E"/>
    <w:lvl w:ilvl="0" w:tplc="509036BA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D51AA"/>
    <w:multiLevelType w:val="hybridMultilevel"/>
    <w:tmpl w:val="79260CCE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D7877"/>
    <w:multiLevelType w:val="hybridMultilevel"/>
    <w:tmpl w:val="8438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F0860"/>
    <w:multiLevelType w:val="hybridMultilevel"/>
    <w:tmpl w:val="E482DFD8"/>
    <w:lvl w:ilvl="0" w:tplc="E13EA3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AF8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8220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A9F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6516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A0C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4900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310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644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2544"/>
    <w:multiLevelType w:val="hybridMultilevel"/>
    <w:tmpl w:val="AAB688A0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F426F"/>
    <w:multiLevelType w:val="hybridMultilevel"/>
    <w:tmpl w:val="0062236A"/>
    <w:lvl w:ilvl="0" w:tplc="0054E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E7A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E0EE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EEA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E24E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5FA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32C1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6608B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B9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5">
    <w:nsid w:val="4F250B5E"/>
    <w:multiLevelType w:val="hybridMultilevel"/>
    <w:tmpl w:val="7E02B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6B0312"/>
    <w:multiLevelType w:val="hybridMultilevel"/>
    <w:tmpl w:val="1348152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4FC90821"/>
    <w:multiLevelType w:val="multilevel"/>
    <w:tmpl w:val="5F3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1158E"/>
    <w:multiLevelType w:val="hybridMultilevel"/>
    <w:tmpl w:val="180CE8BA"/>
    <w:lvl w:ilvl="0" w:tplc="B0A8C158">
      <w:start w:val="1"/>
      <w:numFmt w:val="bullet"/>
      <w:lvlText w:val="•"/>
      <w:lvlJc w:val="left"/>
      <w:pPr>
        <w:tabs>
          <w:tab w:val="num" w:pos="649"/>
        </w:tabs>
        <w:ind w:left="649" w:hanging="479"/>
      </w:pPr>
      <w:rPr>
        <w:rFonts w:ascii="EYInterstate" w:hAnsi="EYInterstat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65675C"/>
    <w:multiLevelType w:val="hybridMultilevel"/>
    <w:tmpl w:val="F6941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F3EB3"/>
    <w:multiLevelType w:val="hybridMultilevel"/>
    <w:tmpl w:val="0F3CC32E"/>
    <w:lvl w:ilvl="0" w:tplc="4236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375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4B6AA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89C4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737E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B0C2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6FC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957A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635E7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1">
    <w:nsid w:val="7340416E"/>
    <w:multiLevelType w:val="hybridMultilevel"/>
    <w:tmpl w:val="CA44475A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05F72"/>
    <w:multiLevelType w:val="hybridMultilevel"/>
    <w:tmpl w:val="B6DE0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177F0F"/>
    <w:multiLevelType w:val="hybridMultilevel"/>
    <w:tmpl w:val="47FCDFEC"/>
    <w:lvl w:ilvl="0" w:tplc="F7FE6D8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432BC0"/>
    <w:multiLevelType w:val="hybridMultilevel"/>
    <w:tmpl w:val="3F74D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22E4E"/>
    <w:multiLevelType w:val="hybridMultilevel"/>
    <w:tmpl w:val="F55086D2"/>
    <w:lvl w:ilvl="0" w:tplc="B4489C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BB8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642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5A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1B2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AB59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EBB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452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A8EA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4"/>
  </w:num>
  <w:num w:numId="5">
    <w:abstractNumId w:val="0"/>
  </w:num>
  <w:num w:numId="6">
    <w:abstractNumId w:val="20"/>
  </w:num>
  <w:num w:numId="7">
    <w:abstractNumId w:val="7"/>
  </w:num>
  <w:num w:numId="8">
    <w:abstractNumId w:val="5"/>
  </w:num>
  <w:num w:numId="9">
    <w:abstractNumId w:val="22"/>
  </w:num>
  <w:num w:numId="10">
    <w:abstractNumId w:val="9"/>
  </w:num>
  <w:num w:numId="11">
    <w:abstractNumId w:val="18"/>
  </w:num>
  <w:num w:numId="12">
    <w:abstractNumId w:val="8"/>
  </w:num>
  <w:num w:numId="13">
    <w:abstractNumId w:val="21"/>
  </w:num>
  <w:num w:numId="14">
    <w:abstractNumId w:val="19"/>
  </w:num>
  <w:num w:numId="15">
    <w:abstractNumId w:val="13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6"/>
  </w:num>
  <w:num w:numId="21">
    <w:abstractNumId w:val="3"/>
  </w:num>
  <w:num w:numId="22">
    <w:abstractNumId w:val="1"/>
  </w:num>
  <w:num w:numId="23">
    <w:abstractNumId w:val="26"/>
  </w:num>
  <w:num w:numId="24">
    <w:abstractNumId w:val="10"/>
  </w:num>
  <w:num w:numId="25">
    <w:abstractNumId w:val="2"/>
  </w:num>
  <w:num w:numId="26">
    <w:abstractNumId w:val="2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3139"/>
    <w:rsid w:val="0000287A"/>
    <w:rsid w:val="0001142C"/>
    <w:rsid w:val="00017E06"/>
    <w:rsid w:val="0002414B"/>
    <w:rsid w:val="000303F6"/>
    <w:rsid w:val="000330B7"/>
    <w:rsid w:val="00035671"/>
    <w:rsid w:val="00075EA5"/>
    <w:rsid w:val="00076D3C"/>
    <w:rsid w:val="000806AE"/>
    <w:rsid w:val="00086210"/>
    <w:rsid w:val="000916BC"/>
    <w:rsid w:val="000E1CCF"/>
    <w:rsid w:val="000E6FB9"/>
    <w:rsid w:val="000F138B"/>
    <w:rsid w:val="0010602A"/>
    <w:rsid w:val="00125FA2"/>
    <w:rsid w:val="0013013D"/>
    <w:rsid w:val="00133E72"/>
    <w:rsid w:val="001475A7"/>
    <w:rsid w:val="001579E8"/>
    <w:rsid w:val="00172F72"/>
    <w:rsid w:val="0018203D"/>
    <w:rsid w:val="001824BC"/>
    <w:rsid w:val="001C223D"/>
    <w:rsid w:val="001E45C3"/>
    <w:rsid w:val="001E59F8"/>
    <w:rsid w:val="001F2DBB"/>
    <w:rsid w:val="002014D2"/>
    <w:rsid w:val="00204534"/>
    <w:rsid w:val="00206AAB"/>
    <w:rsid w:val="00214468"/>
    <w:rsid w:val="0022013D"/>
    <w:rsid w:val="00232387"/>
    <w:rsid w:val="0023567F"/>
    <w:rsid w:val="0024581F"/>
    <w:rsid w:val="00256824"/>
    <w:rsid w:val="00270C72"/>
    <w:rsid w:val="00280BC1"/>
    <w:rsid w:val="00283139"/>
    <w:rsid w:val="002A348F"/>
    <w:rsid w:val="002A7E9B"/>
    <w:rsid w:val="002A7F08"/>
    <w:rsid w:val="002B1541"/>
    <w:rsid w:val="002D465A"/>
    <w:rsid w:val="002D5243"/>
    <w:rsid w:val="002E04DA"/>
    <w:rsid w:val="002E10FC"/>
    <w:rsid w:val="002E6888"/>
    <w:rsid w:val="002F2CD1"/>
    <w:rsid w:val="002F3AFA"/>
    <w:rsid w:val="002F3CF1"/>
    <w:rsid w:val="003023D2"/>
    <w:rsid w:val="00310F6E"/>
    <w:rsid w:val="00315728"/>
    <w:rsid w:val="003229A7"/>
    <w:rsid w:val="00335C59"/>
    <w:rsid w:val="00345839"/>
    <w:rsid w:val="00361183"/>
    <w:rsid w:val="00372629"/>
    <w:rsid w:val="0038296A"/>
    <w:rsid w:val="003C120A"/>
    <w:rsid w:val="003C7866"/>
    <w:rsid w:val="003F33BC"/>
    <w:rsid w:val="00406FC7"/>
    <w:rsid w:val="00410C01"/>
    <w:rsid w:val="004418CB"/>
    <w:rsid w:val="00462A07"/>
    <w:rsid w:val="004754BF"/>
    <w:rsid w:val="004A006A"/>
    <w:rsid w:val="004E26B6"/>
    <w:rsid w:val="004F6D2E"/>
    <w:rsid w:val="00502993"/>
    <w:rsid w:val="005036EA"/>
    <w:rsid w:val="00510ABC"/>
    <w:rsid w:val="00511187"/>
    <w:rsid w:val="0056155A"/>
    <w:rsid w:val="00564935"/>
    <w:rsid w:val="00570F9A"/>
    <w:rsid w:val="005738A5"/>
    <w:rsid w:val="005A1665"/>
    <w:rsid w:val="005B3DB7"/>
    <w:rsid w:val="005B5E1B"/>
    <w:rsid w:val="005C136C"/>
    <w:rsid w:val="005D7E4C"/>
    <w:rsid w:val="005E11EE"/>
    <w:rsid w:val="005E5E00"/>
    <w:rsid w:val="005F536D"/>
    <w:rsid w:val="006133FF"/>
    <w:rsid w:val="006357DD"/>
    <w:rsid w:val="0065190D"/>
    <w:rsid w:val="00660DFD"/>
    <w:rsid w:val="00661F6E"/>
    <w:rsid w:val="006C35E9"/>
    <w:rsid w:val="006C51DC"/>
    <w:rsid w:val="006F1367"/>
    <w:rsid w:val="006F43FA"/>
    <w:rsid w:val="006F5C46"/>
    <w:rsid w:val="00710E75"/>
    <w:rsid w:val="007154DB"/>
    <w:rsid w:val="00736E16"/>
    <w:rsid w:val="0074131F"/>
    <w:rsid w:val="00756BBC"/>
    <w:rsid w:val="00757B11"/>
    <w:rsid w:val="007744FF"/>
    <w:rsid w:val="007911EB"/>
    <w:rsid w:val="007C4966"/>
    <w:rsid w:val="007E7F29"/>
    <w:rsid w:val="007F2C59"/>
    <w:rsid w:val="007F5868"/>
    <w:rsid w:val="007F7ABE"/>
    <w:rsid w:val="00816639"/>
    <w:rsid w:val="00822065"/>
    <w:rsid w:val="00823B75"/>
    <w:rsid w:val="00850053"/>
    <w:rsid w:val="00872975"/>
    <w:rsid w:val="00895227"/>
    <w:rsid w:val="00897259"/>
    <w:rsid w:val="008A2E38"/>
    <w:rsid w:val="008A4CBA"/>
    <w:rsid w:val="008A58BE"/>
    <w:rsid w:val="008C6E85"/>
    <w:rsid w:val="008C72D0"/>
    <w:rsid w:val="008C7AE9"/>
    <w:rsid w:val="008D65CD"/>
    <w:rsid w:val="008E2074"/>
    <w:rsid w:val="00913206"/>
    <w:rsid w:val="00915713"/>
    <w:rsid w:val="00926283"/>
    <w:rsid w:val="00927992"/>
    <w:rsid w:val="00941425"/>
    <w:rsid w:val="00946048"/>
    <w:rsid w:val="00982C79"/>
    <w:rsid w:val="00984F64"/>
    <w:rsid w:val="009865CA"/>
    <w:rsid w:val="009B7798"/>
    <w:rsid w:val="009C6FC5"/>
    <w:rsid w:val="009E2FA7"/>
    <w:rsid w:val="009E5FCF"/>
    <w:rsid w:val="009E6147"/>
    <w:rsid w:val="00A43303"/>
    <w:rsid w:val="00A51E1D"/>
    <w:rsid w:val="00A83DA3"/>
    <w:rsid w:val="00A935BF"/>
    <w:rsid w:val="00A93EC7"/>
    <w:rsid w:val="00AC172A"/>
    <w:rsid w:val="00AD1A9D"/>
    <w:rsid w:val="00AD2B80"/>
    <w:rsid w:val="00B02C95"/>
    <w:rsid w:val="00B04A84"/>
    <w:rsid w:val="00B15AC3"/>
    <w:rsid w:val="00B20F20"/>
    <w:rsid w:val="00B26A43"/>
    <w:rsid w:val="00B329DD"/>
    <w:rsid w:val="00B33761"/>
    <w:rsid w:val="00B5424D"/>
    <w:rsid w:val="00B61D62"/>
    <w:rsid w:val="00B62525"/>
    <w:rsid w:val="00B67F1B"/>
    <w:rsid w:val="00B73A4F"/>
    <w:rsid w:val="00B830E8"/>
    <w:rsid w:val="00BF4B65"/>
    <w:rsid w:val="00BF4F59"/>
    <w:rsid w:val="00C016D7"/>
    <w:rsid w:val="00C03464"/>
    <w:rsid w:val="00C04A75"/>
    <w:rsid w:val="00C12D31"/>
    <w:rsid w:val="00C3754C"/>
    <w:rsid w:val="00C4135B"/>
    <w:rsid w:val="00C637FC"/>
    <w:rsid w:val="00C723EB"/>
    <w:rsid w:val="00C86A37"/>
    <w:rsid w:val="00C94D5A"/>
    <w:rsid w:val="00CA06C2"/>
    <w:rsid w:val="00CA4511"/>
    <w:rsid w:val="00CB176B"/>
    <w:rsid w:val="00CD1FBD"/>
    <w:rsid w:val="00CE43E4"/>
    <w:rsid w:val="00CE6D73"/>
    <w:rsid w:val="00CF7B1D"/>
    <w:rsid w:val="00D0559A"/>
    <w:rsid w:val="00D2109B"/>
    <w:rsid w:val="00D22C63"/>
    <w:rsid w:val="00D374A3"/>
    <w:rsid w:val="00D43464"/>
    <w:rsid w:val="00D61A18"/>
    <w:rsid w:val="00D668B8"/>
    <w:rsid w:val="00D67CE3"/>
    <w:rsid w:val="00D737CC"/>
    <w:rsid w:val="00D94D0E"/>
    <w:rsid w:val="00D97C7B"/>
    <w:rsid w:val="00DA219B"/>
    <w:rsid w:val="00DD024B"/>
    <w:rsid w:val="00DE2FA0"/>
    <w:rsid w:val="00DF317F"/>
    <w:rsid w:val="00E04D57"/>
    <w:rsid w:val="00E15B9B"/>
    <w:rsid w:val="00E16959"/>
    <w:rsid w:val="00E27029"/>
    <w:rsid w:val="00E7680E"/>
    <w:rsid w:val="00E85845"/>
    <w:rsid w:val="00EA47FA"/>
    <w:rsid w:val="00EB1316"/>
    <w:rsid w:val="00EC6C4E"/>
    <w:rsid w:val="00EE1A13"/>
    <w:rsid w:val="00EE231D"/>
    <w:rsid w:val="00F35A71"/>
    <w:rsid w:val="00F6154C"/>
    <w:rsid w:val="00F63F61"/>
    <w:rsid w:val="00F64D37"/>
    <w:rsid w:val="00F735B2"/>
    <w:rsid w:val="00F859EF"/>
    <w:rsid w:val="00FA478E"/>
    <w:rsid w:val="00FA780E"/>
    <w:rsid w:val="00FB166E"/>
    <w:rsid w:val="00FB2484"/>
    <w:rsid w:val="00FD3C9E"/>
    <w:rsid w:val="00FF05F3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029"/>
    <w:rPr>
      <w:sz w:val="24"/>
      <w:szCs w:val="24"/>
      <w:lang w:eastAsia="en-US"/>
    </w:rPr>
  </w:style>
  <w:style w:type="paragraph" w:styleId="Heading2">
    <w:name w:val="heading 2"/>
    <w:basedOn w:val="Normal"/>
    <w:qFormat/>
    <w:rsid w:val="00E2702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029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E27029"/>
    <w:pPr>
      <w:spacing w:after="160" w:line="240" w:lineRule="exact"/>
    </w:pPr>
    <w:rPr>
      <w:rFonts w:ascii="Verdana" w:hAnsi="Verdana"/>
      <w:lang w:val="en-US"/>
    </w:rPr>
  </w:style>
  <w:style w:type="paragraph" w:customStyle="1" w:styleId="EYNormal">
    <w:name w:val="EY Normal"/>
    <w:link w:val="EYNormalChar"/>
    <w:rsid w:val="00E27029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rsid w:val="00E27029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rsid w:val="00E27029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rsid w:val="00E27029"/>
    <w:rPr>
      <w:color w:val="666666"/>
    </w:rPr>
  </w:style>
  <w:style w:type="paragraph" w:customStyle="1" w:styleId="EYDocumentpromptsbold">
    <w:name w:val="EY Document prompts (bold)"/>
    <w:basedOn w:val="EYDocumentprompts"/>
    <w:rsid w:val="00E27029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rsid w:val="00E27029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rsid w:val="00E27029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uiPriority w:val="99"/>
    <w:rsid w:val="00E27029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rsid w:val="00E27029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E27029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E27029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rsid w:val="00E27029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rsid w:val="00E27029"/>
    <w:pPr>
      <w:spacing w:after="400" w:line="360" w:lineRule="auto"/>
    </w:pPr>
  </w:style>
  <w:style w:type="paragraph" w:customStyle="1" w:styleId="EYDate">
    <w:name w:val="EY Date"/>
    <w:basedOn w:val="EYDocumentprompts"/>
    <w:rsid w:val="00E27029"/>
  </w:style>
  <w:style w:type="paragraph" w:customStyle="1" w:styleId="EYBulletedtext1">
    <w:name w:val="EY Bulleted text 1"/>
    <w:basedOn w:val="EYBodytextwithparaspace"/>
    <w:rsid w:val="00E27029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E27029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rsid w:val="00E27029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E270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029"/>
    <w:rPr>
      <w:sz w:val="20"/>
      <w:szCs w:val="20"/>
    </w:rPr>
  </w:style>
  <w:style w:type="paragraph" w:styleId="BalloonText">
    <w:name w:val="Balloon Text"/>
    <w:basedOn w:val="Normal"/>
    <w:semiHidden/>
    <w:rsid w:val="00E27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702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27029"/>
    <w:rPr>
      <w:b/>
      <w:bCs/>
    </w:rPr>
  </w:style>
  <w:style w:type="paragraph" w:customStyle="1" w:styleId="intro">
    <w:name w:val="intro"/>
    <w:basedOn w:val="Normal"/>
    <w:rsid w:val="00E27029"/>
    <w:pPr>
      <w:spacing w:before="100" w:beforeAutospacing="1" w:after="100" w:afterAutospacing="1"/>
    </w:pPr>
    <w:rPr>
      <w:color w:val="000000"/>
      <w:lang w:eastAsia="cs-CZ"/>
    </w:rPr>
  </w:style>
  <w:style w:type="character" w:customStyle="1" w:styleId="CharChar">
    <w:name w:val="Char Char"/>
    <w:basedOn w:val="DefaultParagraphFont"/>
    <w:rsid w:val="00E27029"/>
    <w:rPr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E27029"/>
    <w:pPr>
      <w:spacing w:before="100" w:beforeAutospacing="1" w:after="100" w:afterAutospacing="1"/>
    </w:pPr>
    <w:rPr>
      <w:color w:val="000000"/>
      <w:lang w:eastAsia="cs-CZ"/>
    </w:rPr>
  </w:style>
  <w:style w:type="paragraph" w:customStyle="1" w:styleId="EYHeading3">
    <w:name w:val="EY Heading 3"/>
    <w:basedOn w:val="Normal"/>
    <w:next w:val="EYBodytextwithparaspace"/>
    <w:link w:val="EYHeading3Char"/>
    <w:rsid w:val="00E27029"/>
    <w:pPr>
      <w:keepNext/>
      <w:suppressAutoHyphens/>
      <w:spacing w:before="120" w:after="120"/>
    </w:pPr>
    <w:rPr>
      <w:rFonts w:ascii="Arial" w:hAnsi="Arial"/>
      <w:b/>
      <w:i/>
      <w:kern w:val="12"/>
      <w:sz w:val="22"/>
      <w:lang w:val="en-GB"/>
    </w:rPr>
  </w:style>
  <w:style w:type="character" w:customStyle="1" w:styleId="EYHeading3Char">
    <w:name w:val="EY Heading 3 Char"/>
    <w:basedOn w:val="DefaultParagraphFont"/>
    <w:link w:val="EYHeading3"/>
    <w:rsid w:val="00E27029"/>
    <w:rPr>
      <w:rFonts w:ascii="Arial" w:hAnsi="Arial"/>
      <w:b/>
      <w:i/>
      <w:kern w:val="12"/>
      <w:sz w:val="22"/>
      <w:szCs w:val="24"/>
      <w:lang w:val="en-GB" w:eastAsia="en-US" w:bidi="ar-SA"/>
    </w:rPr>
  </w:style>
  <w:style w:type="paragraph" w:customStyle="1" w:styleId="EYHeading1">
    <w:name w:val="EY Heading 1"/>
    <w:basedOn w:val="EYNormal"/>
    <w:next w:val="EYBodytextwithparaspace"/>
    <w:link w:val="EYHeading1Char"/>
    <w:rsid w:val="00E27029"/>
    <w:pPr>
      <w:keepNext/>
      <w:spacing w:before="120" w:after="240"/>
    </w:pPr>
    <w:rPr>
      <w:b/>
      <w:sz w:val="26"/>
    </w:rPr>
  </w:style>
  <w:style w:type="character" w:customStyle="1" w:styleId="EYHeading1Char">
    <w:name w:val="EY Heading 1 Char"/>
    <w:basedOn w:val="DefaultParagraphFont"/>
    <w:link w:val="EYHeading1"/>
    <w:rsid w:val="00E27029"/>
    <w:rPr>
      <w:rFonts w:ascii="Arial" w:hAnsi="Arial"/>
      <w:b/>
      <w:kern w:val="12"/>
      <w:sz w:val="26"/>
      <w:szCs w:val="24"/>
      <w:lang w:val="en-GB" w:eastAsia="en-US" w:bidi="ar-SA"/>
    </w:rPr>
  </w:style>
  <w:style w:type="paragraph" w:customStyle="1" w:styleId="CRNormal">
    <w:name w:val="CR Normal"/>
    <w:basedOn w:val="Normal"/>
    <w:rsid w:val="00E27029"/>
    <w:pPr>
      <w:spacing w:line="260" w:lineRule="exact"/>
      <w:jc w:val="both"/>
    </w:pPr>
    <w:rPr>
      <w:sz w:val="22"/>
      <w:szCs w:val="20"/>
      <w:lang w:val="en-GB"/>
    </w:rPr>
  </w:style>
  <w:style w:type="paragraph" w:customStyle="1" w:styleId="EYHeading2">
    <w:name w:val="EY Heading 2"/>
    <w:basedOn w:val="EYHeading1"/>
    <w:next w:val="EYBodytextwithparaspace"/>
    <w:link w:val="EYHeading2Char"/>
    <w:rsid w:val="00E27029"/>
    <w:pPr>
      <w:spacing w:after="120"/>
    </w:pPr>
    <w:rPr>
      <w:sz w:val="22"/>
    </w:rPr>
  </w:style>
  <w:style w:type="character" w:customStyle="1" w:styleId="EYHeading2Char">
    <w:name w:val="EY Heading 2 Char"/>
    <w:basedOn w:val="EYHeading1Char"/>
    <w:link w:val="EYHeading2"/>
    <w:rsid w:val="00E27029"/>
    <w:rPr>
      <w:sz w:val="22"/>
    </w:rPr>
  </w:style>
  <w:style w:type="character" w:customStyle="1" w:styleId="EYNormalChar">
    <w:name w:val="EY Normal Char"/>
    <w:basedOn w:val="DefaultParagraphFont"/>
    <w:link w:val="EYNormal"/>
    <w:rsid w:val="00E27029"/>
    <w:rPr>
      <w:rFonts w:ascii="Arial" w:hAnsi="Arial"/>
      <w:kern w:val="12"/>
      <w:sz w:val="11"/>
      <w:szCs w:val="24"/>
      <w:lang w:val="en-GB" w:eastAsia="en-US" w:bidi="ar-SA"/>
    </w:rPr>
  </w:style>
  <w:style w:type="character" w:styleId="Emphasis">
    <w:name w:val="Emphasis"/>
    <w:basedOn w:val="DefaultParagraphFont"/>
    <w:qFormat/>
    <w:rsid w:val="00E2702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E27029"/>
    <w:pPr>
      <w:ind w:left="720"/>
    </w:pPr>
  </w:style>
  <w:style w:type="paragraph" w:styleId="Revision">
    <w:name w:val="Revision"/>
    <w:hidden/>
    <w:uiPriority w:val="99"/>
    <w:semiHidden/>
    <w:rsid w:val="00E27029"/>
    <w:rPr>
      <w:sz w:val="24"/>
      <w:szCs w:val="24"/>
      <w:lang w:eastAsia="en-US"/>
    </w:rPr>
  </w:style>
  <w:style w:type="paragraph" w:customStyle="1" w:styleId="twoline">
    <w:name w:val="twoline"/>
    <w:basedOn w:val="Normal"/>
    <w:rsid w:val="00E2702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27029"/>
    <w:rPr>
      <w:b/>
      <w:bCs/>
    </w:rPr>
  </w:style>
  <w:style w:type="paragraph" w:customStyle="1" w:styleId="pagetext">
    <w:name w:val="pagetext"/>
    <w:basedOn w:val="Normal"/>
    <w:rsid w:val="00E27029"/>
    <w:pPr>
      <w:spacing w:line="336" w:lineRule="auto"/>
    </w:pPr>
    <w:rPr>
      <w:rFonts w:ascii="Arial" w:hAnsi="Arial" w:cs="Arial"/>
      <w:sz w:val="20"/>
      <w:szCs w:val="20"/>
    </w:rPr>
  </w:style>
  <w:style w:type="character" w:customStyle="1" w:styleId="tw4winMark">
    <w:name w:val="tw4winMark"/>
    <w:rsid w:val="00E27029"/>
    <w:rPr>
      <w:rFonts w:ascii="Courier New" w:hAnsi="Courier New"/>
      <w:vanish/>
      <w:color w:val="800080"/>
      <w:vertAlign w:val="sub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D37"/>
    <w:rPr>
      <w:lang w:val="cs-CZ"/>
    </w:rPr>
  </w:style>
  <w:style w:type="character" w:customStyle="1" w:styleId="gbthreadmessagerowdate1">
    <w:name w:val="gbthreadmessagerow_date1"/>
    <w:basedOn w:val="DefaultParagraphFont"/>
    <w:rsid w:val="00AD1A9D"/>
    <w:rPr>
      <w:color w:val="777777"/>
      <w:sz w:val="17"/>
      <w:szCs w:val="17"/>
    </w:rPr>
  </w:style>
  <w:style w:type="character" w:customStyle="1" w:styleId="gbthreadmessagerowreportlink1">
    <w:name w:val="gbthreadmessagerow_reportlink1"/>
    <w:basedOn w:val="DefaultParagraphFont"/>
    <w:rsid w:val="00AD1A9D"/>
    <w:rPr>
      <w:color w:val="777777"/>
      <w:sz w:val="17"/>
      <w:szCs w:val="17"/>
    </w:rPr>
  </w:style>
  <w:style w:type="character" w:styleId="FootnoteReference">
    <w:name w:val="footnote reference"/>
    <w:basedOn w:val="DefaultParagraphFont"/>
    <w:rsid w:val="008C7A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13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06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5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7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3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6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39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50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9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1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27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26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379">
          <w:marLeft w:val="288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1147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820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7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6711">
                                  <w:marLeft w:val="-60"/>
                                  <w:marRight w:val="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y.com/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E1EF34\4957_EYc%20News%20Release%20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4957_EYc News Release CZ.dot</Template>
  <TotalTime>8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/>
  <LinksUpToDate>false</LinksUpToDate>
  <CharactersWithSpaces>6394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http://www.ey.com/cz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skyvarova</dc:creator>
  <cp:keywords/>
  <cp:lastModifiedBy>Ernst &amp; Young</cp:lastModifiedBy>
  <cp:revision>6</cp:revision>
  <cp:lastPrinted>2010-12-22T10:26:00Z</cp:lastPrinted>
  <dcterms:created xsi:type="dcterms:W3CDTF">2011-01-19T15:47:00Z</dcterms:created>
  <dcterms:modified xsi:type="dcterms:W3CDTF">2011-01-19T15:53:00Z</dcterms:modified>
</cp:coreProperties>
</file>