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7B" w:rsidRPr="00304CE3" w:rsidRDefault="00D97C7B">
      <w:pPr>
        <w:pStyle w:val="EYBodytextsubhead1"/>
        <w:ind w:right="-85"/>
        <w:rPr>
          <w:rFonts w:ascii="Arial" w:hAnsi="Arial" w:cs="Arial"/>
          <w:b w:val="0"/>
          <w:sz w:val="36"/>
          <w:szCs w:val="36"/>
          <w:lang w:val="en-US"/>
        </w:rPr>
      </w:pPr>
      <w:proofErr w:type="spellStart"/>
      <w:r w:rsidRPr="00304CE3">
        <w:rPr>
          <w:rFonts w:ascii="Arial" w:hAnsi="Arial" w:cs="Arial"/>
          <w:b w:val="0"/>
          <w:sz w:val="36"/>
          <w:szCs w:val="36"/>
          <w:lang w:val="en-US"/>
        </w:rPr>
        <w:t>Tisková</w:t>
      </w:r>
      <w:proofErr w:type="spellEnd"/>
      <w:r w:rsidRPr="00304CE3">
        <w:rPr>
          <w:rFonts w:ascii="Arial" w:hAnsi="Arial" w:cs="Arial"/>
          <w:b w:val="0"/>
          <w:sz w:val="36"/>
          <w:szCs w:val="36"/>
          <w:lang w:val="en-US"/>
        </w:rPr>
        <w:t xml:space="preserve"> </w:t>
      </w:r>
      <w:proofErr w:type="spellStart"/>
      <w:r w:rsidRPr="00304CE3">
        <w:rPr>
          <w:rFonts w:ascii="Arial" w:hAnsi="Arial" w:cs="Arial"/>
          <w:b w:val="0"/>
          <w:sz w:val="36"/>
          <w:szCs w:val="36"/>
          <w:lang w:val="en-US"/>
        </w:rPr>
        <w:t>zpráva</w:t>
      </w:r>
      <w:proofErr w:type="spellEnd"/>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20"/>
          <w:szCs w:val="20"/>
          <w:lang w:val="en-US"/>
        </w:rPr>
        <w:tab/>
      </w:r>
      <w:proofErr w:type="spellStart"/>
      <w:r w:rsidRPr="00304CE3">
        <w:rPr>
          <w:rFonts w:ascii="Arial" w:hAnsi="Arial" w:cs="Arial"/>
          <w:b w:val="0"/>
          <w:sz w:val="16"/>
          <w:szCs w:val="16"/>
          <w:lang w:val="en-US"/>
        </w:rPr>
        <w:t>Alžběta</w:t>
      </w:r>
      <w:proofErr w:type="spellEnd"/>
      <w:r w:rsidRPr="00304CE3">
        <w:rPr>
          <w:rFonts w:ascii="Arial" w:hAnsi="Arial" w:cs="Arial"/>
          <w:b w:val="0"/>
          <w:sz w:val="16"/>
          <w:szCs w:val="16"/>
          <w:lang w:val="en-US"/>
        </w:rPr>
        <w:t xml:space="preserve"> </w:t>
      </w:r>
      <w:proofErr w:type="spellStart"/>
      <w:r w:rsidRPr="00304CE3">
        <w:rPr>
          <w:rFonts w:ascii="Arial" w:hAnsi="Arial" w:cs="Arial"/>
          <w:b w:val="0"/>
          <w:sz w:val="16"/>
          <w:szCs w:val="16"/>
          <w:lang w:val="en-US"/>
        </w:rPr>
        <w:t>Honsová</w:t>
      </w:r>
      <w:proofErr w:type="spellEnd"/>
      <w:r w:rsidRPr="00304CE3">
        <w:rPr>
          <w:rFonts w:ascii="Arial" w:hAnsi="Arial" w:cs="Arial"/>
          <w:b w:val="0"/>
          <w:sz w:val="16"/>
          <w:szCs w:val="16"/>
          <w:lang w:val="en-US"/>
        </w:rPr>
        <w:tab/>
        <w:t xml:space="preserve">Monika </w:t>
      </w:r>
      <w:proofErr w:type="spellStart"/>
      <w:r w:rsidRPr="00304CE3">
        <w:rPr>
          <w:rFonts w:ascii="Arial" w:hAnsi="Arial" w:cs="Arial"/>
          <w:b w:val="0"/>
          <w:sz w:val="16"/>
          <w:szCs w:val="16"/>
          <w:lang w:val="en-US"/>
        </w:rPr>
        <w:t>Veselá</w:t>
      </w:r>
      <w:proofErr w:type="spellEnd"/>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Ernst &amp; Young</w:t>
      </w:r>
      <w:r w:rsidRPr="00304CE3">
        <w:rPr>
          <w:rFonts w:ascii="Arial" w:hAnsi="Arial" w:cs="Arial"/>
          <w:b w:val="0"/>
          <w:sz w:val="16"/>
          <w:szCs w:val="16"/>
          <w:lang w:val="en-US"/>
        </w:rPr>
        <w:tab/>
        <w:t xml:space="preserve">Fleishman </w:t>
      </w:r>
      <w:proofErr w:type="spellStart"/>
      <w:r w:rsidRPr="00304CE3">
        <w:rPr>
          <w:rFonts w:ascii="Arial" w:hAnsi="Arial" w:cs="Arial"/>
          <w:b w:val="0"/>
          <w:sz w:val="16"/>
          <w:szCs w:val="16"/>
          <w:lang w:val="en-US"/>
        </w:rPr>
        <w:t>Hillard</w:t>
      </w:r>
      <w:proofErr w:type="spellEnd"/>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Tel.: +420 225 335 669</w:t>
      </w:r>
      <w:r w:rsidRPr="00304CE3">
        <w:rPr>
          <w:rFonts w:ascii="Arial" w:hAnsi="Arial" w:cs="Arial"/>
          <w:b w:val="0"/>
          <w:sz w:val="16"/>
          <w:szCs w:val="16"/>
          <w:lang w:val="en-US"/>
        </w:rPr>
        <w:tab/>
        <w:t>Tel.: +420 234 669 504</w:t>
      </w:r>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Mobile: +420 </w:t>
      </w:r>
      <w:proofErr w:type="gramStart"/>
      <w:r w:rsidRPr="00304CE3">
        <w:rPr>
          <w:rFonts w:ascii="Arial" w:hAnsi="Arial" w:cs="Arial"/>
          <w:b w:val="0"/>
          <w:sz w:val="16"/>
          <w:szCs w:val="16"/>
          <w:lang w:val="en-US"/>
        </w:rPr>
        <w:t>603  577</w:t>
      </w:r>
      <w:proofErr w:type="gramEnd"/>
      <w:r w:rsidRPr="00304CE3">
        <w:rPr>
          <w:rFonts w:ascii="Arial" w:hAnsi="Arial" w:cs="Arial"/>
          <w:b w:val="0"/>
          <w:sz w:val="16"/>
          <w:szCs w:val="16"/>
          <w:lang w:val="en-US"/>
        </w:rPr>
        <w:t xml:space="preserve"> 939</w:t>
      </w:r>
      <w:r w:rsidRPr="00304CE3">
        <w:rPr>
          <w:rFonts w:ascii="Arial" w:hAnsi="Arial" w:cs="Arial"/>
          <w:b w:val="0"/>
          <w:sz w:val="16"/>
          <w:szCs w:val="16"/>
          <w:lang w:val="en-US"/>
        </w:rPr>
        <w:tab/>
        <w:t>Mobile: +420 604 333 320</w:t>
      </w:r>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E-mail: alzbeta.honsova@cz.ey.com</w:t>
      </w:r>
      <w:r w:rsidRPr="00304CE3">
        <w:rPr>
          <w:rFonts w:ascii="Arial" w:hAnsi="Arial" w:cs="Arial"/>
          <w:b w:val="0"/>
          <w:sz w:val="16"/>
          <w:szCs w:val="16"/>
          <w:lang w:val="en-US"/>
        </w:rPr>
        <w:tab/>
        <w:t>E-mail: monika.vesela@fleishman.com</w:t>
      </w:r>
    </w:p>
    <w:p w:rsidR="00D97C7B" w:rsidRPr="00304CE3" w:rsidRDefault="00D97C7B">
      <w:pPr>
        <w:pStyle w:val="EYBodytextsubhead1"/>
        <w:tabs>
          <w:tab w:val="clear" w:pos="907"/>
          <w:tab w:val="left" w:pos="2548"/>
          <w:tab w:val="left" w:pos="6162"/>
        </w:tabs>
        <w:spacing w:after="0" w:line="240" w:lineRule="auto"/>
        <w:ind w:right="-85"/>
        <w:rPr>
          <w:rFonts w:ascii="Arial" w:hAnsi="Arial" w:cs="Arial"/>
          <w:b w:val="0"/>
          <w:sz w:val="16"/>
          <w:szCs w:val="16"/>
          <w:lang w:val="en-US"/>
        </w:rPr>
      </w:pPr>
    </w:p>
    <w:p w:rsidR="00D97C7B" w:rsidRPr="00304CE3" w:rsidRDefault="00D97C7B">
      <w:pPr>
        <w:pStyle w:val="EYBodytextsubhead1"/>
        <w:tabs>
          <w:tab w:val="clear" w:pos="907"/>
          <w:tab w:val="left" w:pos="2548"/>
          <w:tab w:val="left" w:pos="6162"/>
        </w:tabs>
        <w:spacing w:after="0" w:line="240" w:lineRule="auto"/>
        <w:ind w:right="-85"/>
        <w:rPr>
          <w:rFonts w:ascii="Arial" w:hAnsi="Arial" w:cs="Arial"/>
          <w:b w:val="0"/>
          <w:sz w:val="16"/>
          <w:szCs w:val="16"/>
          <w:lang w:val="en-US"/>
        </w:rPr>
      </w:pPr>
    </w:p>
    <w:p w:rsidR="00D97C7B" w:rsidRPr="00304CE3" w:rsidRDefault="00D97C7B">
      <w:pPr>
        <w:pStyle w:val="EYBodytextsubhead1"/>
        <w:tabs>
          <w:tab w:val="clear" w:pos="907"/>
          <w:tab w:val="left" w:pos="2548"/>
          <w:tab w:val="left" w:pos="6162"/>
        </w:tabs>
        <w:spacing w:after="0" w:line="240" w:lineRule="auto"/>
        <w:ind w:right="-85"/>
        <w:rPr>
          <w:rFonts w:ascii="Arial" w:hAnsi="Arial" w:cs="Arial"/>
          <w:b w:val="0"/>
          <w:sz w:val="16"/>
          <w:szCs w:val="16"/>
          <w:lang w:val="en-US"/>
        </w:rPr>
      </w:pPr>
    </w:p>
    <w:p w:rsidR="00304CE3" w:rsidRPr="00304CE3" w:rsidRDefault="00304CE3" w:rsidP="00304CE3">
      <w:pPr>
        <w:spacing w:line="360" w:lineRule="auto"/>
        <w:rPr>
          <w:rFonts w:ascii="Arial" w:hAnsi="Arial" w:cs="Arial"/>
          <w:b/>
          <w:sz w:val="28"/>
          <w:szCs w:val="28"/>
          <w:lang w:val="en-US"/>
        </w:rPr>
      </w:pPr>
      <w:r w:rsidRPr="00304CE3">
        <w:rPr>
          <w:rFonts w:ascii="Arial" w:hAnsi="Arial" w:cs="Arial"/>
          <w:b/>
          <w:sz w:val="28"/>
          <w:szCs w:val="28"/>
          <w:lang w:val="en-US"/>
        </w:rPr>
        <w:t>Cost cutting and pricing pressures fastest growing risks to global business in 2011</w:t>
      </w:r>
    </w:p>
    <w:p w:rsidR="00304CE3" w:rsidRPr="00304CE3" w:rsidRDefault="00304CE3" w:rsidP="00304CE3">
      <w:pPr>
        <w:pStyle w:val="ListParagraph"/>
        <w:numPr>
          <w:ilvl w:val="0"/>
          <w:numId w:val="27"/>
        </w:numPr>
        <w:spacing w:line="360" w:lineRule="auto"/>
        <w:rPr>
          <w:rFonts w:ascii="Arial" w:hAnsi="Arial" w:cs="Arial"/>
          <w:b/>
          <w:sz w:val="22"/>
          <w:szCs w:val="22"/>
          <w:lang w:val="en-US"/>
        </w:rPr>
      </w:pPr>
      <w:r w:rsidRPr="00304CE3">
        <w:rPr>
          <w:rFonts w:ascii="Arial" w:hAnsi="Arial" w:cs="Arial"/>
          <w:b/>
          <w:sz w:val="22"/>
          <w:szCs w:val="22"/>
          <w:lang w:val="en-US"/>
        </w:rPr>
        <w:t>Market risk and expansion of government’s role new entrants to annual risk radar</w:t>
      </w:r>
    </w:p>
    <w:p w:rsidR="00304CE3" w:rsidRPr="00304CE3" w:rsidRDefault="00304CE3" w:rsidP="00304CE3">
      <w:pPr>
        <w:pStyle w:val="ListParagraph"/>
        <w:numPr>
          <w:ilvl w:val="0"/>
          <w:numId w:val="27"/>
        </w:numPr>
        <w:spacing w:line="360" w:lineRule="auto"/>
        <w:rPr>
          <w:rFonts w:ascii="Arial" w:hAnsi="Arial" w:cs="Arial"/>
          <w:b/>
          <w:sz w:val="22"/>
          <w:szCs w:val="22"/>
          <w:lang w:val="en-US"/>
        </w:rPr>
      </w:pPr>
      <w:r w:rsidRPr="00304CE3">
        <w:rPr>
          <w:rFonts w:ascii="Arial" w:hAnsi="Arial" w:cs="Arial"/>
          <w:b/>
          <w:sz w:val="22"/>
          <w:szCs w:val="22"/>
          <w:lang w:val="en-US"/>
        </w:rPr>
        <w:t>Regulation remains biggest overall risk</w:t>
      </w:r>
    </w:p>
    <w:p w:rsidR="00304CE3" w:rsidRPr="00304CE3" w:rsidRDefault="00304CE3" w:rsidP="00304CE3">
      <w:pPr>
        <w:pStyle w:val="ListParagraph"/>
        <w:numPr>
          <w:ilvl w:val="0"/>
          <w:numId w:val="27"/>
        </w:numPr>
        <w:spacing w:line="360" w:lineRule="auto"/>
        <w:rPr>
          <w:rFonts w:ascii="Arial" w:hAnsi="Arial" w:cs="Arial"/>
          <w:b/>
          <w:sz w:val="22"/>
          <w:szCs w:val="22"/>
          <w:lang w:val="en-US"/>
        </w:rPr>
      </w:pPr>
      <w:r w:rsidRPr="00304CE3">
        <w:rPr>
          <w:rFonts w:ascii="Arial" w:hAnsi="Arial" w:cs="Arial"/>
          <w:b/>
          <w:sz w:val="22"/>
          <w:szCs w:val="22"/>
          <w:lang w:val="en-US"/>
        </w:rPr>
        <w:t>Emerging markets demand growth biggest opportunity for 2011</w:t>
      </w:r>
    </w:p>
    <w:p w:rsidR="002F2CD1" w:rsidRPr="00304CE3" w:rsidRDefault="002F2CD1" w:rsidP="00CE6D73">
      <w:pPr>
        <w:spacing w:line="360" w:lineRule="auto"/>
        <w:rPr>
          <w:rFonts w:ascii="Arial" w:hAnsi="Arial"/>
          <w:i/>
          <w:sz w:val="22"/>
          <w:lang w:val="en-US"/>
        </w:rPr>
      </w:pPr>
    </w:p>
    <w:p w:rsidR="00304CE3" w:rsidRPr="00304CE3" w:rsidRDefault="00CE6D73" w:rsidP="00304CE3">
      <w:pPr>
        <w:spacing w:line="360" w:lineRule="auto"/>
        <w:rPr>
          <w:rFonts w:ascii="Arial" w:hAnsi="Arial"/>
          <w:sz w:val="22"/>
          <w:lang w:val="en-US"/>
        </w:rPr>
      </w:pPr>
      <w:proofErr w:type="gramStart"/>
      <w:r w:rsidRPr="00304CE3">
        <w:rPr>
          <w:rFonts w:ascii="Arial" w:hAnsi="Arial"/>
          <w:i/>
          <w:sz w:val="22"/>
          <w:lang w:val="en-US"/>
        </w:rPr>
        <w:t>Pra</w:t>
      </w:r>
      <w:r w:rsidR="00304CE3" w:rsidRPr="00304CE3">
        <w:rPr>
          <w:rFonts w:ascii="Arial" w:hAnsi="Arial"/>
          <w:i/>
          <w:sz w:val="22"/>
          <w:lang w:val="en-US"/>
        </w:rPr>
        <w:t>gue</w:t>
      </w:r>
      <w:r w:rsidRPr="00304CE3">
        <w:rPr>
          <w:rFonts w:ascii="Arial" w:hAnsi="Arial"/>
          <w:i/>
          <w:sz w:val="22"/>
          <w:lang w:val="en-US"/>
        </w:rPr>
        <w:t xml:space="preserve">, </w:t>
      </w:r>
      <w:r w:rsidR="002F2CD1" w:rsidRPr="00304CE3">
        <w:rPr>
          <w:rFonts w:ascii="Arial" w:hAnsi="Arial"/>
          <w:i/>
          <w:sz w:val="22"/>
          <w:lang w:val="en-US"/>
        </w:rPr>
        <w:t>20</w:t>
      </w:r>
      <w:r w:rsidRPr="00304CE3">
        <w:rPr>
          <w:rFonts w:ascii="Arial" w:hAnsi="Arial"/>
          <w:i/>
          <w:sz w:val="22"/>
          <w:lang w:val="en-US"/>
        </w:rPr>
        <w:t>.</w:t>
      </w:r>
      <w:proofErr w:type="gramEnd"/>
      <w:r w:rsidRPr="00304CE3">
        <w:rPr>
          <w:rFonts w:ascii="Arial" w:hAnsi="Arial"/>
          <w:i/>
          <w:sz w:val="22"/>
          <w:lang w:val="en-US"/>
        </w:rPr>
        <w:t xml:space="preserve"> </w:t>
      </w:r>
      <w:r w:rsidR="00304CE3" w:rsidRPr="00304CE3">
        <w:rPr>
          <w:rFonts w:ascii="Arial" w:hAnsi="Arial"/>
          <w:i/>
          <w:sz w:val="22"/>
          <w:lang w:val="en-US"/>
        </w:rPr>
        <w:t>January</w:t>
      </w:r>
      <w:r w:rsidRPr="00304CE3">
        <w:rPr>
          <w:rFonts w:ascii="Arial" w:hAnsi="Arial"/>
          <w:i/>
          <w:sz w:val="22"/>
          <w:lang w:val="en-US"/>
        </w:rPr>
        <w:t xml:space="preserve"> 2011 –</w:t>
      </w:r>
      <w:r w:rsidRPr="00304CE3">
        <w:rPr>
          <w:rFonts w:ascii="Arial" w:hAnsi="Arial"/>
          <w:sz w:val="22"/>
          <w:lang w:val="en-US"/>
        </w:rPr>
        <w:t xml:space="preserve"> </w:t>
      </w:r>
      <w:r w:rsidR="00304CE3" w:rsidRPr="00304CE3">
        <w:rPr>
          <w:rFonts w:ascii="Arial" w:hAnsi="Arial"/>
          <w:sz w:val="22"/>
          <w:lang w:val="en-US"/>
        </w:rPr>
        <w:t xml:space="preserve">Regulation and compliance remains the biggest risk to global businesses in 2011, with the expansion of government’s role as a new entrant in Ernst &amp; Young’s fourth annual </w:t>
      </w:r>
      <w:r w:rsidR="00304CE3" w:rsidRPr="00304CE3">
        <w:rPr>
          <w:rFonts w:ascii="Arial" w:hAnsi="Arial"/>
          <w:i/>
          <w:sz w:val="22"/>
          <w:lang w:val="en-US"/>
        </w:rPr>
        <w:t xml:space="preserve">Global Business Risk Report, </w:t>
      </w:r>
      <w:r w:rsidR="00304CE3" w:rsidRPr="00304CE3">
        <w:rPr>
          <w:rFonts w:ascii="Arial" w:hAnsi="Arial"/>
          <w:sz w:val="22"/>
          <w:lang w:val="en-US"/>
        </w:rPr>
        <w:t xml:space="preserve">which canvasses the views of leading analysts, academics and industry executives. However the most significant changes from the 2010 report are that cost cutting has moved up four places to take the number two position and pricing pressures has moved up ten places to fifth.  </w:t>
      </w:r>
    </w:p>
    <w:p w:rsidR="00CE6D73" w:rsidRPr="00304CE3" w:rsidRDefault="00CE6D73" w:rsidP="00CE6D73">
      <w:pPr>
        <w:spacing w:line="360" w:lineRule="auto"/>
        <w:rPr>
          <w:rFonts w:ascii="Arial" w:hAnsi="Arial" w:cs="Arial"/>
          <w:sz w:val="22"/>
          <w:lang w:val="en-US"/>
        </w:rPr>
      </w:pPr>
    </w:p>
    <w:p w:rsidR="00304CE3" w:rsidRPr="00304CE3" w:rsidRDefault="00CE6D73" w:rsidP="00304CE3">
      <w:pPr>
        <w:spacing w:line="360" w:lineRule="auto"/>
        <w:rPr>
          <w:rFonts w:ascii="Arial" w:hAnsi="Arial" w:cs="Arial"/>
          <w:sz w:val="22"/>
          <w:lang w:val="en-US"/>
        </w:rPr>
      </w:pPr>
      <w:r w:rsidRPr="00304CE3">
        <w:rPr>
          <w:rFonts w:ascii="Arial" w:hAnsi="Arial"/>
          <w:sz w:val="22"/>
          <w:lang w:val="en-US"/>
        </w:rPr>
        <w:t xml:space="preserve">Jan </w:t>
      </w:r>
      <w:proofErr w:type="spellStart"/>
      <w:r w:rsidRPr="00304CE3">
        <w:rPr>
          <w:rFonts w:ascii="Arial" w:hAnsi="Arial"/>
          <w:sz w:val="22"/>
          <w:lang w:val="en-US"/>
        </w:rPr>
        <w:t>Fanta</w:t>
      </w:r>
      <w:proofErr w:type="spellEnd"/>
      <w:r w:rsidRPr="00304CE3">
        <w:rPr>
          <w:rFonts w:ascii="Arial" w:hAnsi="Arial"/>
          <w:sz w:val="22"/>
          <w:lang w:val="en-US"/>
        </w:rPr>
        <w:t xml:space="preserve">, </w:t>
      </w:r>
      <w:r w:rsidR="00304CE3" w:rsidRPr="00304CE3">
        <w:rPr>
          <w:rFonts w:ascii="Arial" w:hAnsi="Arial" w:cs="Arial"/>
          <w:sz w:val="22"/>
          <w:lang w:val="en-US"/>
        </w:rPr>
        <w:t xml:space="preserve">Ernst &amp; Young Advisory </w:t>
      </w:r>
      <w:r w:rsidR="00304CE3" w:rsidRPr="00304CE3">
        <w:rPr>
          <w:rFonts w:ascii="Arial" w:hAnsi="Arial" w:cs="Arial"/>
          <w:sz w:val="22"/>
          <w:lang w:val="en-US"/>
        </w:rPr>
        <w:t>Partner</w:t>
      </w:r>
      <w:r w:rsidR="00304CE3" w:rsidRPr="00304CE3">
        <w:rPr>
          <w:rFonts w:ascii="Arial" w:hAnsi="Arial" w:cs="Arial"/>
          <w:sz w:val="22"/>
          <w:lang w:val="en-US"/>
        </w:rPr>
        <w:t xml:space="preserve">, comments on why pricing has become such a rising challenge: </w:t>
      </w:r>
      <w:r w:rsidR="00304CE3" w:rsidRPr="00304CE3">
        <w:rPr>
          <w:rFonts w:ascii="Arial" w:hAnsi="Arial" w:cs="Arial"/>
          <w:i/>
          <w:sz w:val="22"/>
          <w:lang w:val="en-US"/>
        </w:rPr>
        <w:t>“We’re seeing intense competition in the global marketplace, which looks set to increase.  As companies fight for market share, against a backdrop of slow growth in developed countries and a land-grab in emerging markets, it’s no surprise that pricing pressure is the biggest climber – and, in order to price right, companies need to optimize costs.”</w:t>
      </w:r>
    </w:p>
    <w:p w:rsidR="00984F64" w:rsidRPr="00304CE3" w:rsidRDefault="00984F64" w:rsidP="00CE6D73">
      <w:pPr>
        <w:spacing w:line="360" w:lineRule="auto"/>
        <w:rPr>
          <w:rFonts w:ascii="Arial" w:hAnsi="Arial"/>
          <w:i/>
          <w:sz w:val="22"/>
          <w:lang w:val="en-US"/>
        </w:rPr>
      </w:pPr>
    </w:p>
    <w:p w:rsidR="00304CE3" w:rsidRPr="00304CE3" w:rsidRDefault="00304CE3" w:rsidP="00304CE3">
      <w:pPr>
        <w:spacing w:line="360" w:lineRule="auto"/>
        <w:rPr>
          <w:rFonts w:ascii="Arial" w:hAnsi="Arial" w:cs="Arial"/>
          <w:noProof/>
          <w:sz w:val="22"/>
          <w:lang w:val="en-US" w:eastAsia="en-GB"/>
        </w:rPr>
      </w:pPr>
      <w:r w:rsidRPr="00304CE3">
        <w:rPr>
          <w:rFonts w:ascii="Arial" w:hAnsi="Arial" w:cs="Arial"/>
          <w:noProof/>
          <w:sz w:val="22"/>
          <w:lang w:val="en-US" w:eastAsia="en-GB"/>
        </w:rPr>
        <w:t xml:space="preserve">Top 10 Global Business Risks for 2011.  Ranking for 2010 in brackets </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Regulation and compliance (1)</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Cost-cutting (6)</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Slow recovery/double dip recession (3)</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Market risks (New)</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Pricing pressure (15)</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Managing talent (4)</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Access to credit (2)</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Social acceptance risk / CSR (9)</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Expansion of government’s role (New)</w:t>
      </w:r>
    </w:p>
    <w:p w:rsidR="00304CE3" w:rsidRPr="00304CE3" w:rsidRDefault="00304CE3" w:rsidP="00304CE3">
      <w:pPr>
        <w:numPr>
          <w:ilvl w:val="0"/>
          <w:numId w:val="25"/>
        </w:numPr>
        <w:spacing w:line="360" w:lineRule="auto"/>
        <w:rPr>
          <w:rFonts w:ascii="Arial" w:hAnsi="Arial" w:cs="Arial"/>
          <w:noProof/>
          <w:sz w:val="22"/>
          <w:lang w:val="en-US" w:eastAsia="en-GB"/>
        </w:rPr>
      </w:pPr>
      <w:r w:rsidRPr="00304CE3">
        <w:rPr>
          <w:rFonts w:ascii="Arial" w:hAnsi="Arial" w:cs="Arial"/>
          <w:noProof/>
          <w:sz w:val="22"/>
          <w:lang w:val="en-US" w:eastAsia="en-GB"/>
        </w:rPr>
        <w:t>Emerging technologies (13)</w:t>
      </w:r>
    </w:p>
    <w:p w:rsidR="00304CE3" w:rsidRPr="00304CE3" w:rsidRDefault="00304CE3" w:rsidP="00304CE3">
      <w:pPr>
        <w:spacing w:line="360" w:lineRule="auto"/>
        <w:rPr>
          <w:rFonts w:ascii="Arial" w:hAnsi="Arial" w:cs="Arial"/>
          <w:sz w:val="22"/>
          <w:lang w:val="en-US"/>
        </w:rPr>
      </w:pPr>
      <w:r w:rsidRPr="00304CE3">
        <w:rPr>
          <w:rFonts w:ascii="Arial" w:hAnsi="Arial" w:cs="Arial"/>
          <w:sz w:val="22"/>
          <w:lang w:val="en-US"/>
        </w:rPr>
        <w:lastRenderedPageBreak/>
        <w:t xml:space="preserve">This year also sees market risks entering the top ten for the first time. This suggests business concerns over the </w:t>
      </w:r>
      <w:proofErr w:type="spellStart"/>
      <w:r w:rsidRPr="00304CE3">
        <w:rPr>
          <w:rFonts w:ascii="Arial" w:hAnsi="Arial" w:cs="Arial"/>
          <w:sz w:val="22"/>
          <w:lang w:val="en-US"/>
        </w:rPr>
        <w:t>Eurozone</w:t>
      </w:r>
      <w:proofErr w:type="spellEnd"/>
      <w:r w:rsidRPr="00304CE3">
        <w:rPr>
          <w:rFonts w:ascii="Arial" w:hAnsi="Arial" w:cs="Arial"/>
          <w:sz w:val="22"/>
          <w:lang w:val="en-US"/>
        </w:rPr>
        <w:t xml:space="preserve"> intensifying, as many corporate risks have been absorbed into sovereign risk. According to </w:t>
      </w:r>
      <w:r w:rsidRPr="00304CE3">
        <w:rPr>
          <w:rFonts w:ascii="Arial" w:hAnsi="Arial" w:cs="Arial"/>
          <w:i/>
          <w:sz w:val="22"/>
          <w:lang w:val="en-US"/>
        </w:rPr>
        <w:t>Competing for Growth,</w:t>
      </w:r>
      <w:r w:rsidRPr="00304CE3">
        <w:rPr>
          <w:rFonts w:ascii="Arial" w:hAnsi="Arial" w:cs="Arial"/>
          <w:sz w:val="22"/>
          <w:lang w:val="en-US"/>
        </w:rPr>
        <w:t xml:space="preserve"> a recent Ernst &amp; Young study, markets are now more volatile and more varied than before the financial crisis.</w:t>
      </w:r>
    </w:p>
    <w:p w:rsidR="00304CE3" w:rsidRPr="00304CE3" w:rsidRDefault="00304CE3" w:rsidP="00304CE3">
      <w:pPr>
        <w:spacing w:line="360" w:lineRule="auto"/>
        <w:rPr>
          <w:rFonts w:ascii="Arial" w:hAnsi="Arial" w:cs="Arial"/>
          <w:sz w:val="22"/>
          <w:lang w:val="en-US"/>
        </w:rPr>
      </w:pPr>
    </w:p>
    <w:p w:rsidR="00304CE3" w:rsidRPr="00304CE3" w:rsidRDefault="00304CE3" w:rsidP="00304CE3">
      <w:pPr>
        <w:spacing w:line="360" w:lineRule="auto"/>
        <w:rPr>
          <w:rFonts w:ascii="Arial" w:hAnsi="Arial" w:cs="Arial"/>
          <w:sz w:val="22"/>
          <w:lang w:val="en-US"/>
        </w:rPr>
      </w:pPr>
      <w:r w:rsidRPr="00304CE3">
        <w:rPr>
          <w:rFonts w:ascii="Arial" w:hAnsi="Arial" w:cs="Arial"/>
          <w:sz w:val="22"/>
          <w:lang w:val="en-US"/>
        </w:rPr>
        <w:t>Access to credit has fallen from the number two risk in 2010, to the number seven risk for 2011, indicating some improvement in business lending conditions. Nonetheless, there are still restrictions on credit and the outlook is uncertain.  The research also identified excellence in investor relations as a top ten opportunity for global businesses, as companies operating in an environment of scarce credit look to win the confidence of investors.</w:t>
      </w:r>
    </w:p>
    <w:p w:rsidR="00304CE3" w:rsidRPr="00304CE3" w:rsidRDefault="00304CE3" w:rsidP="00304CE3">
      <w:pPr>
        <w:spacing w:line="360" w:lineRule="auto"/>
        <w:rPr>
          <w:rFonts w:ascii="Arial" w:hAnsi="Arial" w:cs="Arial"/>
          <w:sz w:val="22"/>
          <w:lang w:val="en-US"/>
        </w:rPr>
      </w:pPr>
    </w:p>
    <w:p w:rsidR="00304CE3" w:rsidRPr="00304CE3" w:rsidRDefault="00304CE3" w:rsidP="00304CE3">
      <w:pPr>
        <w:spacing w:line="360" w:lineRule="auto"/>
        <w:rPr>
          <w:rFonts w:ascii="Arial" w:hAnsi="Arial" w:cs="Arial"/>
          <w:b/>
          <w:sz w:val="22"/>
          <w:lang w:val="en-US"/>
        </w:rPr>
      </w:pPr>
      <w:r w:rsidRPr="00304CE3">
        <w:rPr>
          <w:rFonts w:ascii="Arial" w:hAnsi="Arial" w:cs="Arial"/>
          <w:b/>
          <w:sz w:val="22"/>
          <w:lang w:val="en-US"/>
        </w:rPr>
        <w:t>Looking for opportunities in 2011</w:t>
      </w:r>
    </w:p>
    <w:p w:rsidR="00304CE3" w:rsidRPr="00304CE3" w:rsidRDefault="00304CE3" w:rsidP="00304CE3">
      <w:pPr>
        <w:spacing w:line="360" w:lineRule="auto"/>
        <w:rPr>
          <w:rFonts w:ascii="Arial" w:hAnsi="Arial" w:cs="Arial"/>
          <w:sz w:val="22"/>
          <w:lang w:val="en-US"/>
        </w:rPr>
      </w:pPr>
      <w:r w:rsidRPr="00304CE3">
        <w:rPr>
          <w:rFonts w:ascii="Arial" w:hAnsi="Arial" w:cs="Arial"/>
          <w:sz w:val="22"/>
          <w:lang w:val="en-US"/>
        </w:rPr>
        <w:t>Perhaps unsurprisingly considering current and forecasted growth rates, emerging market demand growth was cited as the top business opportunity for 2011.</w:t>
      </w:r>
    </w:p>
    <w:p w:rsidR="00304CE3" w:rsidRPr="00304CE3" w:rsidRDefault="00304CE3" w:rsidP="00304CE3">
      <w:pPr>
        <w:spacing w:line="360" w:lineRule="auto"/>
        <w:rPr>
          <w:rFonts w:ascii="Arial" w:hAnsi="Arial" w:cs="Arial"/>
          <w:sz w:val="22"/>
          <w:lang w:val="en-US"/>
        </w:rPr>
      </w:pPr>
    </w:p>
    <w:p w:rsidR="00304CE3" w:rsidRPr="00304CE3" w:rsidRDefault="00304CE3" w:rsidP="00304CE3">
      <w:pPr>
        <w:spacing w:line="360" w:lineRule="auto"/>
        <w:rPr>
          <w:rFonts w:ascii="Arial" w:hAnsi="Arial" w:cs="Arial"/>
          <w:i/>
          <w:sz w:val="22"/>
          <w:lang w:val="en-US"/>
        </w:rPr>
      </w:pPr>
      <w:proofErr w:type="spellStart"/>
      <w:r w:rsidRPr="00304CE3">
        <w:rPr>
          <w:rFonts w:ascii="Arial" w:hAnsi="Arial" w:cs="Arial"/>
          <w:sz w:val="22"/>
          <w:lang w:val="en-US"/>
        </w:rPr>
        <w:t>Fanta</w:t>
      </w:r>
      <w:proofErr w:type="spellEnd"/>
      <w:r w:rsidRPr="00304CE3">
        <w:rPr>
          <w:rFonts w:ascii="Arial" w:hAnsi="Arial" w:cs="Arial"/>
          <w:sz w:val="22"/>
          <w:lang w:val="en-US"/>
        </w:rPr>
        <w:t xml:space="preserve"> comments: </w:t>
      </w:r>
      <w:r w:rsidRPr="00304CE3">
        <w:rPr>
          <w:rFonts w:ascii="Arial" w:hAnsi="Arial" w:cs="Arial"/>
          <w:i/>
          <w:sz w:val="22"/>
          <w:lang w:val="en-US"/>
        </w:rPr>
        <w:t>“Emerging markets clearly offer enormous potential for growth, particularly for resources based exporting economies and for many of the mature market economies, who are chasing an export-led recovery on the back of weaker currencies.”</w:t>
      </w:r>
    </w:p>
    <w:p w:rsidR="00304CE3" w:rsidRPr="00304CE3" w:rsidRDefault="00304CE3" w:rsidP="00304CE3">
      <w:pPr>
        <w:spacing w:line="360" w:lineRule="auto"/>
        <w:rPr>
          <w:rFonts w:ascii="Arial" w:hAnsi="Arial" w:cs="Arial"/>
          <w:sz w:val="22"/>
          <w:lang w:val="en-US"/>
        </w:rPr>
      </w:pPr>
    </w:p>
    <w:p w:rsidR="00304CE3" w:rsidRPr="00304CE3" w:rsidRDefault="00304CE3" w:rsidP="00304CE3">
      <w:pPr>
        <w:spacing w:line="360" w:lineRule="auto"/>
        <w:rPr>
          <w:rFonts w:ascii="Arial" w:hAnsi="Arial" w:cs="Arial"/>
          <w:sz w:val="22"/>
          <w:lang w:val="en-US"/>
        </w:rPr>
      </w:pPr>
      <w:r w:rsidRPr="00304CE3">
        <w:rPr>
          <w:rFonts w:ascii="Arial" w:hAnsi="Arial" w:cs="Arial"/>
          <w:sz w:val="22"/>
          <w:lang w:val="en-US"/>
        </w:rPr>
        <w:t xml:space="preserve">Innovating in products, services and operations and improving execution of strategy across business functions were identified as the second and third biggest opportunities for global businesses in 2011, indicating a renewed focus on strengthening competitiveness and growth as we enter the </w:t>
      </w:r>
      <w:proofErr w:type="gramStart"/>
      <w:r w:rsidRPr="00304CE3">
        <w:rPr>
          <w:rFonts w:ascii="Arial" w:hAnsi="Arial" w:cs="Arial"/>
          <w:sz w:val="22"/>
          <w:lang w:val="en-US"/>
        </w:rPr>
        <w:t>new year</w:t>
      </w:r>
      <w:proofErr w:type="gramEnd"/>
      <w:r w:rsidRPr="00304CE3">
        <w:rPr>
          <w:rFonts w:ascii="Arial" w:hAnsi="Arial" w:cs="Arial"/>
          <w:sz w:val="22"/>
          <w:lang w:val="en-US"/>
        </w:rPr>
        <w:t>.</w:t>
      </w:r>
    </w:p>
    <w:p w:rsidR="00304CE3" w:rsidRPr="00304CE3" w:rsidRDefault="00304CE3" w:rsidP="00304CE3">
      <w:pPr>
        <w:spacing w:line="360" w:lineRule="auto"/>
        <w:rPr>
          <w:rFonts w:ascii="Arial" w:hAnsi="Arial" w:cs="Arial"/>
          <w:sz w:val="22"/>
          <w:lang w:val="en-US"/>
        </w:rPr>
      </w:pPr>
    </w:p>
    <w:p w:rsidR="00304CE3" w:rsidRPr="00304CE3" w:rsidRDefault="00304CE3" w:rsidP="00304CE3">
      <w:pPr>
        <w:spacing w:line="360" w:lineRule="auto"/>
        <w:rPr>
          <w:rFonts w:ascii="Arial" w:hAnsi="Arial" w:cs="Arial"/>
          <w:sz w:val="22"/>
          <w:lang w:val="en-US"/>
        </w:rPr>
      </w:pPr>
      <w:r w:rsidRPr="00304CE3">
        <w:rPr>
          <w:rFonts w:ascii="Arial" w:hAnsi="Arial" w:cs="Arial"/>
          <w:sz w:val="22"/>
          <w:lang w:val="en-US"/>
        </w:rPr>
        <w:t>Other trends identified as important opportunities in the years ahead include the rise of clean technology, new marketing channels created by social media and a growth in public-private partnerships.</w:t>
      </w:r>
    </w:p>
    <w:p w:rsidR="00CE6D73" w:rsidRPr="00304CE3" w:rsidRDefault="00CE6D73" w:rsidP="00CE6D73">
      <w:pPr>
        <w:spacing w:line="360" w:lineRule="auto"/>
        <w:rPr>
          <w:rFonts w:ascii="Arial" w:hAnsi="Arial" w:cs="Arial"/>
          <w:sz w:val="22"/>
          <w:lang w:val="en-US"/>
        </w:rPr>
      </w:pPr>
    </w:p>
    <w:p w:rsidR="00304CE3" w:rsidRPr="00304CE3" w:rsidRDefault="00304CE3" w:rsidP="00304CE3">
      <w:pPr>
        <w:spacing w:line="360" w:lineRule="auto"/>
        <w:rPr>
          <w:rFonts w:ascii="Arial" w:hAnsi="Arial" w:cs="Arial"/>
          <w:noProof/>
          <w:sz w:val="22"/>
          <w:lang w:val="en-US" w:eastAsia="en-GB"/>
        </w:rPr>
      </w:pPr>
      <w:r w:rsidRPr="00304CE3">
        <w:rPr>
          <w:rFonts w:ascii="Arial" w:hAnsi="Arial" w:cs="Arial"/>
          <w:noProof/>
          <w:sz w:val="22"/>
          <w:lang w:val="en-US" w:eastAsia="en-GB"/>
        </w:rPr>
        <w:t xml:space="preserve">Top 10 Global Business Opportunities </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Emerging market demand growth</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Innovating in products, services and operations</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Improving execution of strategy across business functions</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Investing in IT</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Investing in cleantech</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Investing in process, tools and training to achieve greater productivity</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Merger and acquisition</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New marketing channels</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lastRenderedPageBreak/>
        <w:t>Private public partnership</w:t>
      </w:r>
    </w:p>
    <w:p w:rsidR="00304CE3" w:rsidRPr="00304CE3" w:rsidRDefault="00304CE3" w:rsidP="00304CE3">
      <w:pPr>
        <w:numPr>
          <w:ilvl w:val="0"/>
          <w:numId w:val="26"/>
        </w:numPr>
        <w:spacing w:line="360" w:lineRule="auto"/>
        <w:rPr>
          <w:rFonts w:ascii="Arial" w:hAnsi="Arial" w:cs="Arial"/>
          <w:noProof/>
          <w:sz w:val="22"/>
          <w:lang w:val="en-US" w:eastAsia="en-GB"/>
        </w:rPr>
      </w:pPr>
      <w:r w:rsidRPr="00304CE3">
        <w:rPr>
          <w:rFonts w:ascii="Arial" w:hAnsi="Arial" w:cs="Arial"/>
          <w:noProof/>
          <w:sz w:val="22"/>
          <w:lang w:val="en-US" w:eastAsia="en-GB"/>
        </w:rPr>
        <w:t>Excellence in investor relations</w:t>
      </w:r>
    </w:p>
    <w:p w:rsidR="00CE6D73" w:rsidRPr="00304CE3" w:rsidRDefault="00CE6D73" w:rsidP="00CE6D73">
      <w:pPr>
        <w:spacing w:line="360" w:lineRule="auto"/>
        <w:rPr>
          <w:rFonts w:ascii="Arial" w:hAnsi="Arial" w:cs="Arial"/>
          <w:noProof/>
          <w:sz w:val="22"/>
          <w:lang w:val="en-US" w:eastAsia="en-GB"/>
        </w:rPr>
      </w:pPr>
    </w:p>
    <w:p w:rsidR="00304CE3" w:rsidRPr="00304CE3" w:rsidRDefault="00304CE3" w:rsidP="00304CE3">
      <w:pPr>
        <w:spacing w:line="360" w:lineRule="auto"/>
        <w:rPr>
          <w:rFonts w:ascii="Arial" w:hAnsi="Arial" w:cs="Arial"/>
          <w:b/>
          <w:sz w:val="20"/>
          <w:szCs w:val="20"/>
          <w:lang w:val="en-US"/>
        </w:rPr>
      </w:pPr>
      <w:r w:rsidRPr="00304CE3">
        <w:rPr>
          <w:rFonts w:ascii="Arial" w:hAnsi="Arial" w:cs="Arial"/>
          <w:b/>
          <w:sz w:val="20"/>
          <w:szCs w:val="20"/>
          <w:lang w:val="en-US"/>
        </w:rPr>
        <w:t>Research methodology:</w:t>
      </w:r>
    </w:p>
    <w:p w:rsidR="00304CE3" w:rsidRPr="00304CE3" w:rsidRDefault="00304CE3" w:rsidP="00304CE3">
      <w:pPr>
        <w:autoSpaceDE w:val="0"/>
        <w:autoSpaceDN w:val="0"/>
        <w:adjustRightInd w:val="0"/>
        <w:rPr>
          <w:rFonts w:ascii="Arial" w:hAnsi="Arial" w:cs="Arial"/>
          <w:color w:val="000000"/>
          <w:sz w:val="18"/>
          <w:szCs w:val="18"/>
          <w:lang w:val="en-US" w:eastAsia="en-GB"/>
        </w:rPr>
      </w:pPr>
      <w:r w:rsidRPr="00304CE3">
        <w:rPr>
          <w:rFonts w:ascii="Arial" w:hAnsi="Arial" w:cs="Arial"/>
          <w:color w:val="000000"/>
          <w:sz w:val="18"/>
          <w:szCs w:val="18"/>
          <w:lang w:val="en-US" w:eastAsia="en-GB"/>
        </w:rPr>
        <w:t xml:space="preserve">The research was conducted by Oxford </w:t>
      </w:r>
      <w:proofErr w:type="spellStart"/>
      <w:r w:rsidRPr="00304CE3">
        <w:rPr>
          <w:rFonts w:ascii="Arial" w:hAnsi="Arial" w:cs="Arial"/>
          <w:color w:val="000000"/>
          <w:sz w:val="18"/>
          <w:szCs w:val="18"/>
          <w:lang w:val="en-US" w:eastAsia="en-GB"/>
        </w:rPr>
        <w:t>Analytica</w:t>
      </w:r>
      <w:proofErr w:type="spellEnd"/>
      <w:r w:rsidRPr="00304CE3">
        <w:rPr>
          <w:rFonts w:ascii="Arial" w:hAnsi="Arial" w:cs="Arial"/>
          <w:color w:val="000000"/>
          <w:sz w:val="18"/>
          <w:szCs w:val="18"/>
          <w:lang w:val="en-US" w:eastAsia="en-GB"/>
        </w:rPr>
        <w:t xml:space="preserve">. A panel of more than 75 industry executives and analysts, representing seven industry sectors were asked to rank the top ten business opportunities and risks for 2011. The </w:t>
      </w:r>
      <w:proofErr w:type="spellStart"/>
      <w:r w:rsidRPr="00304CE3">
        <w:rPr>
          <w:rFonts w:ascii="Arial" w:hAnsi="Arial" w:cs="Arial"/>
          <w:color w:val="000000"/>
          <w:sz w:val="18"/>
          <w:szCs w:val="18"/>
          <w:lang w:val="en-US" w:eastAsia="en-GB"/>
        </w:rPr>
        <w:t>panellists</w:t>
      </w:r>
      <w:proofErr w:type="spellEnd"/>
      <w:r w:rsidRPr="00304CE3">
        <w:rPr>
          <w:rFonts w:ascii="Arial" w:hAnsi="Arial" w:cs="Arial"/>
          <w:color w:val="000000"/>
          <w:sz w:val="18"/>
          <w:szCs w:val="18"/>
          <w:lang w:val="en-US" w:eastAsia="en-GB"/>
        </w:rPr>
        <w:t xml:space="preserve"> included strategy planning executives, chief risk officers, corporate board members, business unit directors, academics, independent consultants, and our own Ernst &amp; Young practice professionals.</w:t>
      </w:r>
    </w:p>
    <w:p w:rsidR="00304CE3" w:rsidRPr="00304CE3" w:rsidRDefault="00304CE3" w:rsidP="00304CE3">
      <w:pPr>
        <w:autoSpaceDE w:val="0"/>
        <w:autoSpaceDN w:val="0"/>
        <w:adjustRightInd w:val="0"/>
        <w:rPr>
          <w:rFonts w:ascii="Arial" w:hAnsi="Arial" w:cs="Arial"/>
          <w:color w:val="000000"/>
          <w:sz w:val="18"/>
          <w:szCs w:val="18"/>
          <w:lang w:val="en-US" w:eastAsia="en-GB"/>
        </w:rPr>
      </w:pPr>
      <w:r w:rsidRPr="00304CE3">
        <w:rPr>
          <w:rFonts w:ascii="Arial" w:hAnsi="Arial" w:cs="Arial"/>
          <w:color w:val="000000"/>
          <w:sz w:val="18"/>
          <w:szCs w:val="18"/>
          <w:lang w:val="en-US" w:eastAsia="en-GB"/>
        </w:rPr>
        <w:t xml:space="preserve"> </w:t>
      </w:r>
    </w:p>
    <w:p w:rsidR="00304CE3" w:rsidRPr="00304CE3" w:rsidRDefault="00304CE3" w:rsidP="00304CE3">
      <w:pPr>
        <w:autoSpaceDE w:val="0"/>
        <w:autoSpaceDN w:val="0"/>
        <w:adjustRightInd w:val="0"/>
        <w:rPr>
          <w:rFonts w:ascii="Arial" w:hAnsi="Arial" w:cs="Arial"/>
          <w:sz w:val="18"/>
          <w:szCs w:val="18"/>
          <w:lang w:val="en-US"/>
        </w:rPr>
      </w:pPr>
      <w:r w:rsidRPr="00304CE3">
        <w:rPr>
          <w:rFonts w:ascii="Arial" w:hAnsi="Arial" w:cs="Arial"/>
          <w:color w:val="000000"/>
          <w:sz w:val="18"/>
          <w:szCs w:val="18"/>
          <w:lang w:val="en-US" w:eastAsia="en-GB"/>
        </w:rPr>
        <w:t xml:space="preserve">The </w:t>
      </w:r>
      <w:proofErr w:type="spellStart"/>
      <w:r w:rsidRPr="00304CE3">
        <w:rPr>
          <w:rFonts w:ascii="Arial" w:hAnsi="Arial" w:cs="Arial"/>
          <w:color w:val="000000"/>
          <w:sz w:val="18"/>
          <w:szCs w:val="18"/>
          <w:lang w:val="en-US" w:eastAsia="en-GB"/>
        </w:rPr>
        <w:t>panellists’</w:t>
      </w:r>
      <w:proofErr w:type="spellEnd"/>
      <w:r w:rsidRPr="00304CE3">
        <w:rPr>
          <w:rFonts w:ascii="Arial" w:hAnsi="Arial" w:cs="Arial"/>
          <w:color w:val="000000"/>
          <w:sz w:val="18"/>
          <w:szCs w:val="18"/>
          <w:lang w:val="en-US" w:eastAsia="en-GB"/>
        </w:rPr>
        <w:t xml:space="preserve"> ratings were grouped by sector and aggregated to select the final top ten and below-the-radar opportunities and risks for each sector.  The opportunities and risks that were rated as having the greatest impact across the largest number of sectors were identified as the top 10 challenges for global business in 2011.</w:t>
      </w:r>
    </w:p>
    <w:p w:rsidR="004418CB" w:rsidRPr="00304CE3" w:rsidRDefault="004418CB" w:rsidP="005E5E00">
      <w:pPr>
        <w:pStyle w:val="EYBodytextwithparaspace"/>
        <w:spacing w:after="0"/>
        <w:rPr>
          <w:b/>
          <w:sz w:val="18"/>
          <w:szCs w:val="18"/>
          <w:lang w:val="en-US"/>
        </w:rPr>
      </w:pPr>
    </w:p>
    <w:p w:rsidR="005E5E00" w:rsidRPr="00304CE3" w:rsidRDefault="005E5E00" w:rsidP="005E5E00">
      <w:pPr>
        <w:pStyle w:val="EYBodytextwithparaspace"/>
        <w:spacing w:after="0"/>
        <w:rPr>
          <w:sz w:val="16"/>
          <w:szCs w:val="16"/>
          <w:lang w:val="en-US"/>
        </w:rPr>
      </w:pPr>
    </w:p>
    <w:p w:rsidR="00E16959" w:rsidRPr="00304CE3" w:rsidRDefault="00E16959" w:rsidP="00E16959">
      <w:pPr>
        <w:pStyle w:val="EYBodytextwithparaspace"/>
        <w:spacing w:after="0"/>
        <w:ind w:right="-85"/>
        <w:rPr>
          <w:b/>
          <w:sz w:val="18"/>
          <w:szCs w:val="18"/>
          <w:lang w:val="en-US"/>
        </w:rPr>
      </w:pPr>
      <w:proofErr w:type="spellStart"/>
      <w:r w:rsidRPr="00304CE3">
        <w:rPr>
          <w:b/>
          <w:sz w:val="18"/>
          <w:szCs w:val="18"/>
          <w:lang w:val="en-US"/>
        </w:rPr>
        <w:t>Informace</w:t>
      </w:r>
      <w:proofErr w:type="spellEnd"/>
      <w:r w:rsidRPr="00304CE3">
        <w:rPr>
          <w:b/>
          <w:sz w:val="18"/>
          <w:szCs w:val="18"/>
          <w:lang w:val="en-US"/>
        </w:rPr>
        <w:t xml:space="preserve"> o Ernst &amp; Young</w:t>
      </w:r>
    </w:p>
    <w:p w:rsidR="00304CE3" w:rsidRPr="00304CE3" w:rsidRDefault="00304CE3" w:rsidP="00304CE3">
      <w:pPr>
        <w:ind w:right="-85"/>
        <w:rPr>
          <w:rFonts w:ascii="Arial" w:hAnsi="Arial" w:cs="Arial"/>
          <w:sz w:val="18"/>
          <w:szCs w:val="18"/>
          <w:lang w:val="en-US"/>
        </w:rPr>
      </w:pPr>
      <w:r w:rsidRPr="00304CE3">
        <w:rPr>
          <w:rFonts w:ascii="Arial" w:hAnsi="Arial" w:cs="Arial"/>
          <w:sz w:val="18"/>
          <w:szCs w:val="18"/>
          <w:lang w:val="en-US"/>
        </w:rPr>
        <w:t>Ernst &amp; Young is a global leader in assurance, tax, transaction and advisory services. Worldwide, our 141,000 people are united by our shared values and an unwavering commitment to quality. We make a difference by helping our people, our clients and our wider communities achieve their potential.</w:t>
      </w:r>
    </w:p>
    <w:p w:rsidR="00E16959" w:rsidRPr="00304CE3" w:rsidRDefault="00E16959" w:rsidP="00E16959">
      <w:pPr>
        <w:ind w:right="-85"/>
        <w:rPr>
          <w:rFonts w:ascii="Arial" w:hAnsi="Arial" w:cs="Arial"/>
          <w:sz w:val="18"/>
          <w:szCs w:val="18"/>
          <w:lang w:val="en-US"/>
        </w:rPr>
      </w:pPr>
    </w:p>
    <w:p w:rsidR="00E16959" w:rsidRPr="00304CE3" w:rsidRDefault="00E16959" w:rsidP="00E16959">
      <w:pPr>
        <w:ind w:right="-85"/>
        <w:rPr>
          <w:rFonts w:ascii="Arial" w:hAnsi="Arial" w:cs="Arial"/>
          <w:sz w:val="18"/>
          <w:szCs w:val="18"/>
          <w:lang w:val="en-US"/>
        </w:rPr>
      </w:pPr>
    </w:p>
    <w:p w:rsidR="00304CE3" w:rsidRPr="00304CE3" w:rsidRDefault="00304CE3" w:rsidP="00304CE3">
      <w:pPr>
        <w:ind w:right="-85"/>
        <w:rPr>
          <w:rFonts w:ascii="Arial" w:hAnsi="Arial" w:cs="Arial"/>
          <w:kern w:val="12"/>
          <w:sz w:val="18"/>
          <w:szCs w:val="18"/>
          <w:lang w:val="en-US"/>
        </w:rPr>
      </w:pPr>
      <w:proofErr w:type="gramStart"/>
      <w:r w:rsidRPr="00304CE3">
        <w:rPr>
          <w:rFonts w:ascii="Arial" w:hAnsi="Arial" w:cs="Arial"/>
          <w:i/>
          <w:kern w:val="12"/>
          <w:sz w:val="18"/>
          <w:szCs w:val="18"/>
          <w:lang w:val="en-US"/>
        </w:rPr>
        <w:t>Ernst &amp; Young refers to the global organization of member firms of Ernst &amp; Young Global Limited, each of which is a separate legal entity.</w:t>
      </w:r>
      <w:proofErr w:type="gramEnd"/>
      <w:r w:rsidRPr="00304CE3">
        <w:rPr>
          <w:rFonts w:ascii="Arial" w:hAnsi="Arial" w:cs="Arial"/>
          <w:i/>
          <w:kern w:val="12"/>
          <w:sz w:val="18"/>
          <w:szCs w:val="18"/>
          <w:lang w:val="en-US"/>
        </w:rPr>
        <w:t xml:space="preserve"> Ernst &amp; Young Global Limited, a UK company limited by guarantee, does not provide services to clients. </w:t>
      </w:r>
      <w:r w:rsidRPr="00304CE3">
        <w:rPr>
          <w:rFonts w:ascii="Arial" w:hAnsi="Arial" w:cs="Arial"/>
          <w:kern w:val="12"/>
          <w:sz w:val="18"/>
          <w:szCs w:val="18"/>
          <w:lang w:val="en-US"/>
        </w:rPr>
        <w:t xml:space="preserve">For more information about our organization, please visit </w:t>
      </w:r>
      <w:hyperlink r:id="rId7" w:history="1">
        <w:r w:rsidRPr="00304CE3">
          <w:rPr>
            <w:rStyle w:val="Hyperlink"/>
            <w:rFonts w:ascii="Arial" w:hAnsi="Arial" w:cs="Arial"/>
            <w:kern w:val="12"/>
            <w:sz w:val="18"/>
            <w:szCs w:val="18"/>
            <w:lang w:val="en-US"/>
          </w:rPr>
          <w:t>www.ey.com</w:t>
        </w:r>
      </w:hyperlink>
    </w:p>
    <w:p w:rsidR="00304CE3" w:rsidRPr="00304CE3" w:rsidRDefault="00304CE3" w:rsidP="00304CE3">
      <w:pPr>
        <w:ind w:right="-85"/>
        <w:rPr>
          <w:rFonts w:ascii="Arial" w:hAnsi="Arial" w:cs="Arial"/>
          <w:i/>
          <w:kern w:val="12"/>
          <w:sz w:val="18"/>
          <w:szCs w:val="18"/>
          <w:lang w:val="en-US"/>
        </w:rPr>
      </w:pPr>
      <w:r w:rsidRPr="00304CE3">
        <w:rPr>
          <w:rFonts w:ascii="Arial" w:hAnsi="Arial" w:cs="Arial"/>
          <w:i/>
          <w:kern w:val="12"/>
          <w:sz w:val="18"/>
          <w:szCs w:val="18"/>
          <w:lang w:val="en-US"/>
        </w:rPr>
        <w:t>This news release has been issued by EYGM Limited, a member of the global Ernst &amp; Young organization that also does not provide any services to clients.</w:t>
      </w:r>
    </w:p>
    <w:p w:rsidR="008A2E38" w:rsidRPr="00304CE3" w:rsidRDefault="008A2E38" w:rsidP="00E16959">
      <w:pPr>
        <w:ind w:right="-85"/>
        <w:rPr>
          <w:rFonts w:ascii="Arial" w:hAnsi="Arial" w:cs="Arial"/>
          <w:sz w:val="18"/>
          <w:szCs w:val="18"/>
          <w:lang w:val="en-US"/>
        </w:rPr>
      </w:pPr>
    </w:p>
    <w:sectPr w:rsidR="008A2E38" w:rsidRPr="00304CE3" w:rsidSect="00E27029">
      <w:headerReference w:type="default" r:id="rId8"/>
      <w:headerReference w:type="first" r:id="rId9"/>
      <w:footerReference w:type="first" r:id="rId10"/>
      <w:pgSz w:w="11907" w:h="16840" w:code="9"/>
      <w:pgMar w:top="2336" w:right="850" w:bottom="568"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FCF" w:rsidRDefault="009E5FCF">
      <w:r>
        <w:separator/>
      </w:r>
    </w:p>
  </w:endnote>
  <w:endnote w:type="continuationSeparator" w:id="0">
    <w:p w:rsidR="009E5FCF" w:rsidRDefault="009E5FCF">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EYInterstate">
    <w:panose1 w:val="02000503020000020004"/>
    <w:charset w:val="EE"/>
    <w:family w:val="auto"/>
    <w:pitch w:val="variable"/>
    <w:sig w:usb0="A00002AF" w:usb1="5000206A"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Bold">
    <w:charset w:val="00"/>
    <w:family w:val="auto"/>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31" w:rsidRDefault="00C0029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C12D31" w:rsidRDefault="00C12D31">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FCF" w:rsidRDefault="009E5FCF">
      <w:r>
        <w:separator/>
      </w:r>
    </w:p>
  </w:footnote>
  <w:footnote w:type="continuationSeparator" w:id="0">
    <w:p w:rsidR="009E5FCF" w:rsidRDefault="009E5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31" w:rsidRDefault="00C12D31">
    <w:pPr>
      <w:pStyle w:val="EYBusinessaddressbold"/>
      <w:ind w:firstLine="6579"/>
      <w:rPr>
        <w:rFonts w:ascii="Arial" w:hAnsi="Arial" w:cs="Arial"/>
        <w:szCs w:val="15"/>
      </w:rPr>
    </w:pPr>
    <w:r>
      <w:rPr>
        <w:b w:val="0"/>
        <w:noProof/>
        <w:lang w:val="cs-CZ" w:eastAsia="cs-CZ"/>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4" name="obrázek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C12D31" w:rsidRDefault="00C12D31">
    <w:pPr>
      <w:pStyle w:val="EYBusinessaddressbold"/>
      <w:ind w:firstLine="6579"/>
      <w:rPr>
        <w:rFonts w:ascii="Arial" w:hAnsi="Arial" w:cs="Arial"/>
        <w:szCs w:val="15"/>
      </w:rPr>
    </w:pPr>
  </w:p>
  <w:p w:rsidR="00C12D31" w:rsidRDefault="00C12D31">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C12D31" w:rsidRDefault="00C12D31">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C12D31" w:rsidRDefault="00C12D31">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C12D31" w:rsidRDefault="00C12D31">
    <w:pPr>
      <w:pStyle w:val="EYBusinessaddress"/>
      <w:ind w:firstLine="6579"/>
      <w:rPr>
        <w:lang w:val="de-DE"/>
      </w:rPr>
    </w:pPr>
    <w:r>
      <w:rPr>
        <w:lang w:val="de-DE"/>
      </w:rPr>
      <w:t>www.ey.com/cz</w:t>
    </w:r>
  </w:p>
  <w:p w:rsidR="00C12D31" w:rsidRDefault="00C12D31">
    <w:pPr>
      <w:pStyle w:val="Header"/>
      <w:tabs>
        <w:tab w:val="left" w:pos="6537"/>
      </w:tabs>
      <w:rPr>
        <w:lang w:val="de-DE"/>
      </w:rPr>
    </w:pPr>
  </w:p>
  <w:p w:rsidR="00C12D31" w:rsidRDefault="00C12D31">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31" w:rsidRDefault="00C12D31">
    <w:pPr>
      <w:pStyle w:val="EYBusinessaddressbold"/>
      <w:ind w:firstLine="6579"/>
      <w:rPr>
        <w:rFonts w:ascii="Arial" w:hAnsi="Arial" w:cs="Arial"/>
        <w:szCs w:val="15"/>
      </w:rPr>
    </w:pPr>
    <w:r>
      <w:rPr>
        <w:b w:val="0"/>
        <w:noProof/>
        <w:lang w:val="cs-CZ" w:eastAsia="cs-CZ"/>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obrázek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C12D31" w:rsidRDefault="00C12D31">
    <w:pPr>
      <w:pStyle w:val="EYBusinessaddressbold"/>
      <w:ind w:firstLine="6579"/>
      <w:rPr>
        <w:rFonts w:ascii="Arial" w:hAnsi="Arial" w:cs="Arial"/>
        <w:szCs w:val="15"/>
      </w:rPr>
    </w:pPr>
  </w:p>
  <w:p w:rsidR="00C12D31" w:rsidRDefault="00C12D31">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C12D31" w:rsidRDefault="00C12D31">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C12D31" w:rsidRDefault="00C12D31">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C12D31" w:rsidRDefault="00C12D31">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019"/>
    <w:multiLevelType w:val="hybridMultilevel"/>
    <w:tmpl w:val="8BB8A56E"/>
    <w:lvl w:ilvl="0" w:tplc="214481A2">
      <w:start w:val="1"/>
      <w:numFmt w:val="bullet"/>
      <w:lvlText w:val="•"/>
      <w:lvlJc w:val="left"/>
      <w:pPr>
        <w:tabs>
          <w:tab w:val="num" w:pos="720"/>
        </w:tabs>
        <w:ind w:left="720" w:hanging="360"/>
      </w:pPr>
      <w:rPr>
        <w:rFonts w:ascii="Arial Unicode MS" w:hAnsi="Arial Unicode MS" w:hint="default"/>
      </w:rPr>
    </w:lvl>
    <w:lvl w:ilvl="1" w:tplc="B70A93FA" w:tentative="1">
      <w:start w:val="1"/>
      <w:numFmt w:val="bullet"/>
      <w:lvlText w:val="•"/>
      <w:lvlJc w:val="left"/>
      <w:pPr>
        <w:tabs>
          <w:tab w:val="num" w:pos="1440"/>
        </w:tabs>
        <w:ind w:left="1440" w:hanging="360"/>
      </w:pPr>
      <w:rPr>
        <w:rFonts w:ascii="Arial Unicode MS" w:hAnsi="Arial Unicode MS" w:hint="default"/>
      </w:rPr>
    </w:lvl>
    <w:lvl w:ilvl="2" w:tplc="58AAFE00">
      <w:start w:val="1"/>
      <w:numFmt w:val="bullet"/>
      <w:lvlText w:val="•"/>
      <w:lvlJc w:val="left"/>
      <w:pPr>
        <w:tabs>
          <w:tab w:val="num" w:pos="2160"/>
        </w:tabs>
        <w:ind w:left="2160" w:hanging="360"/>
      </w:pPr>
      <w:rPr>
        <w:rFonts w:ascii="Arial Unicode MS" w:hAnsi="Arial Unicode MS" w:hint="default"/>
      </w:rPr>
    </w:lvl>
    <w:lvl w:ilvl="3" w:tplc="D3BA04F6" w:tentative="1">
      <w:start w:val="1"/>
      <w:numFmt w:val="bullet"/>
      <w:lvlText w:val="•"/>
      <w:lvlJc w:val="left"/>
      <w:pPr>
        <w:tabs>
          <w:tab w:val="num" w:pos="2880"/>
        </w:tabs>
        <w:ind w:left="2880" w:hanging="360"/>
      </w:pPr>
      <w:rPr>
        <w:rFonts w:ascii="Arial Unicode MS" w:hAnsi="Arial Unicode MS" w:hint="default"/>
      </w:rPr>
    </w:lvl>
    <w:lvl w:ilvl="4" w:tplc="ABCAE060" w:tentative="1">
      <w:start w:val="1"/>
      <w:numFmt w:val="bullet"/>
      <w:lvlText w:val="•"/>
      <w:lvlJc w:val="left"/>
      <w:pPr>
        <w:tabs>
          <w:tab w:val="num" w:pos="3600"/>
        </w:tabs>
        <w:ind w:left="3600" w:hanging="360"/>
      </w:pPr>
      <w:rPr>
        <w:rFonts w:ascii="Arial Unicode MS" w:hAnsi="Arial Unicode MS" w:hint="default"/>
      </w:rPr>
    </w:lvl>
    <w:lvl w:ilvl="5" w:tplc="59E4173E" w:tentative="1">
      <w:start w:val="1"/>
      <w:numFmt w:val="bullet"/>
      <w:lvlText w:val="•"/>
      <w:lvlJc w:val="left"/>
      <w:pPr>
        <w:tabs>
          <w:tab w:val="num" w:pos="4320"/>
        </w:tabs>
        <w:ind w:left="4320" w:hanging="360"/>
      </w:pPr>
      <w:rPr>
        <w:rFonts w:ascii="Arial Unicode MS" w:hAnsi="Arial Unicode MS" w:hint="default"/>
      </w:rPr>
    </w:lvl>
    <w:lvl w:ilvl="6" w:tplc="EB20D50E" w:tentative="1">
      <w:start w:val="1"/>
      <w:numFmt w:val="bullet"/>
      <w:lvlText w:val="•"/>
      <w:lvlJc w:val="left"/>
      <w:pPr>
        <w:tabs>
          <w:tab w:val="num" w:pos="5040"/>
        </w:tabs>
        <w:ind w:left="5040" w:hanging="360"/>
      </w:pPr>
      <w:rPr>
        <w:rFonts w:ascii="Arial Unicode MS" w:hAnsi="Arial Unicode MS" w:hint="default"/>
      </w:rPr>
    </w:lvl>
    <w:lvl w:ilvl="7" w:tplc="22F803E8" w:tentative="1">
      <w:start w:val="1"/>
      <w:numFmt w:val="bullet"/>
      <w:lvlText w:val="•"/>
      <w:lvlJc w:val="left"/>
      <w:pPr>
        <w:tabs>
          <w:tab w:val="num" w:pos="5760"/>
        </w:tabs>
        <w:ind w:left="5760" w:hanging="360"/>
      </w:pPr>
      <w:rPr>
        <w:rFonts w:ascii="Arial Unicode MS" w:hAnsi="Arial Unicode MS" w:hint="default"/>
      </w:rPr>
    </w:lvl>
    <w:lvl w:ilvl="8" w:tplc="1B7839DC" w:tentative="1">
      <w:start w:val="1"/>
      <w:numFmt w:val="bullet"/>
      <w:lvlText w:val="•"/>
      <w:lvlJc w:val="left"/>
      <w:pPr>
        <w:tabs>
          <w:tab w:val="num" w:pos="6480"/>
        </w:tabs>
        <w:ind w:left="6480" w:hanging="360"/>
      </w:pPr>
      <w:rPr>
        <w:rFonts w:ascii="Arial Unicode MS" w:hAnsi="Arial Unicode MS" w:hint="default"/>
      </w:rPr>
    </w:lvl>
  </w:abstractNum>
  <w:abstractNum w:abstractNumId="1">
    <w:nsid w:val="080719F3"/>
    <w:multiLevelType w:val="hybridMultilevel"/>
    <w:tmpl w:val="7F8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A1A84"/>
    <w:multiLevelType w:val="hybridMultilevel"/>
    <w:tmpl w:val="75A6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7F4971"/>
    <w:multiLevelType w:val="hybridMultilevel"/>
    <w:tmpl w:val="80B40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BB7AD4"/>
    <w:multiLevelType w:val="hybridMultilevel"/>
    <w:tmpl w:val="D270C86A"/>
    <w:lvl w:ilvl="0" w:tplc="F07698B2">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D34549"/>
    <w:multiLevelType w:val="singleLevel"/>
    <w:tmpl w:val="DE423576"/>
    <w:lvl w:ilvl="0">
      <w:start w:val="1"/>
      <w:numFmt w:val="bullet"/>
      <w:lvlRestart w:val="0"/>
      <w:lvlText w:val="-"/>
      <w:lvlJc w:val="left"/>
      <w:pPr>
        <w:tabs>
          <w:tab w:val="num" w:pos="850"/>
        </w:tabs>
        <w:ind w:left="850" w:hanging="425"/>
      </w:pPr>
      <w:rPr>
        <w:rFonts w:ascii="Symbol" w:hAnsi="Symbol" w:hint="default"/>
        <w:sz w:val="22"/>
      </w:rPr>
    </w:lvl>
  </w:abstractNum>
  <w:abstractNum w:abstractNumId="6">
    <w:nsid w:val="2B6B6291"/>
    <w:multiLevelType w:val="multilevel"/>
    <w:tmpl w:val="32F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76E4A"/>
    <w:multiLevelType w:val="hybridMultilevel"/>
    <w:tmpl w:val="93C4548E"/>
    <w:lvl w:ilvl="0" w:tplc="509036BA">
      <w:start w:val="1"/>
      <w:numFmt w:val="bullet"/>
      <w:lvlRestart w:val="0"/>
      <w:lvlText w:val="·"/>
      <w:lvlJc w:val="left"/>
      <w:pPr>
        <w:tabs>
          <w:tab w:val="num" w:pos="425"/>
        </w:tabs>
        <w:ind w:left="425" w:hanging="425"/>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1D51AA"/>
    <w:multiLevelType w:val="hybridMultilevel"/>
    <w:tmpl w:val="79260CCE"/>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2D7877"/>
    <w:multiLevelType w:val="hybridMultilevel"/>
    <w:tmpl w:val="8438F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F0860"/>
    <w:multiLevelType w:val="hybridMultilevel"/>
    <w:tmpl w:val="E482DFD8"/>
    <w:lvl w:ilvl="0" w:tplc="E13EA332">
      <w:start w:val="1"/>
      <w:numFmt w:val="bullet"/>
      <w:lvlText w:val="►"/>
      <w:lvlJc w:val="left"/>
      <w:pPr>
        <w:tabs>
          <w:tab w:val="num" w:pos="720"/>
        </w:tabs>
        <w:ind w:left="720" w:hanging="360"/>
      </w:pPr>
      <w:rPr>
        <w:rFonts w:ascii="Arial" w:hAnsi="Arial" w:hint="default"/>
      </w:rPr>
    </w:lvl>
    <w:lvl w:ilvl="1" w:tplc="59EAF8D8" w:tentative="1">
      <w:start w:val="1"/>
      <w:numFmt w:val="bullet"/>
      <w:lvlText w:val="►"/>
      <w:lvlJc w:val="left"/>
      <w:pPr>
        <w:tabs>
          <w:tab w:val="num" w:pos="1440"/>
        </w:tabs>
        <w:ind w:left="1440" w:hanging="360"/>
      </w:pPr>
      <w:rPr>
        <w:rFonts w:ascii="Arial" w:hAnsi="Arial" w:hint="default"/>
      </w:rPr>
    </w:lvl>
    <w:lvl w:ilvl="2" w:tplc="20082206" w:tentative="1">
      <w:start w:val="1"/>
      <w:numFmt w:val="bullet"/>
      <w:lvlText w:val="►"/>
      <w:lvlJc w:val="left"/>
      <w:pPr>
        <w:tabs>
          <w:tab w:val="num" w:pos="2160"/>
        </w:tabs>
        <w:ind w:left="2160" w:hanging="360"/>
      </w:pPr>
      <w:rPr>
        <w:rFonts w:ascii="Arial" w:hAnsi="Arial" w:hint="default"/>
      </w:rPr>
    </w:lvl>
    <w:lvl w:ilvl="3" w:tplc="A1AA9FEC" w:tentative="1">
      <w:start w:val="1"/>
      <w:numFmt w:val="bullet"/>
      <w:lvlText w:val="►"/>
      <w:lvlJc w:val="left"/>
      <w:pPr>
        <w:tabs>
          <w:tab w:val="num" w:pos="2880"/>
        </w:tabs>
        <w:ind w:left="2880" w:hanging="360"/>
      </w:pPr>
      <w:rPr>
        <w:rFonts w:ascii="Arial" w:hAnsi="Arial" w:hint="default"/>
      </w:rPr>
    </w:lvl>
    <w:lvl w:ilvl="4" w:tplc="8C56516C" w:tentative="1">
      <w:start w:val="1"/>
      <w:numFmt w:val="bullet"/>
      <w:lvlText w:val="►"/>
      <w:lvlJc w:val="left"/>
      <w:pPr>
        <w:tabs>
          <w:tab w:val="num" w:pos="3600"/>
        </w:tabs>
        <w:ind w:left="3600" w:hanging="360"/>
      </w:pPr>
      <w:rPr>
        <w:rFonts w:ascii="Arial" w:hAnsi="Arial" w:hint="default"/>
      </w:rPr>
    </w:lvl>
    <w:lvl w:ilvl="5" w:tplc="0FC0A0C0" w:tentative="1">
      <w:start w:val="1"/>
      <w:numFmt w:val="bullet"/>
      <w:lvlText w:val="►"/>
      <w:lvlJc w:val="left"/>
      <w:pPr>
        <w:tabs>
          <w:tab w:val="num" w:pos="4320"/>
        </w:tabs>
        <w:ind w:left="4320" w:hanging="360"/>
      </w:pPr>
      <w:rPr>
        <w:rFonts w:ascii="Arial" w:hAnsi="Arial" w:hint="default"/>
      </w:rPr>
    </w:lvl>
    <w:lvl w:ilvl="6" w:tplc="6DA49000" w:tentative="1">
      <w:start w:val="1"/>
      <w:numFmt w:val="bullet"/>
      <w:lvlText w:val="►"/>
      <w:lvlJc w:val="left"/>
      <w:pPr>
        <w:tabs>
          <w:tab w:val="num" w:pos="5040"/>
        </w:tabs>
        <w:ind w:left="5040" w:hanging="360"/>
      </w:pPr>
      <w:rPr>
        <w:rFonts w:ascii="Arial" w:hAnsi="Arial" w:hint="default"/>
      </w:rPr>
    </w:lvl>
    <w:lvl w:ilvl="7" w:tplc="FAF6310C" w:tentative="1">
      <w:start w:val="1"/>
      <w:numFmt w:val="bullet"/>
      <w:lvlText w:val="►"/>
      <w:lvlJc w:val="left"/>
      <w:pPr>
        <w:tabs>
          <w:tab w:val="num" w:pos="5760"/>
        </w:tabs>
        <w:ind w:left="5760" w:hanging="360"/>
      </w:pPr>
      <w:rPr>
        <w:rFonts w:ascii="Arial" w:hAnsi="Arial" w:hint="default"/>
      </w:rPr>
    </w:lvl>
    <w:lvl w:ilvl="8" w:tplc="FD7644D8" w:tentative="1">
      <w:start w:val="1"/>
      <w:numFmt w:val="bullet"/>
      <w:lvlText w:val="►"/>
      <w:lvlJc w:val="left"/>
      <w:pPr>
        <w:tabs>
          <w:tab w:val="num" w:pos="6480"/>
        </w:tabs>
        <w:ind w:left="6480" w:hanging="360"/>
      </w:pPr>
      <w:rPr>
        <w:rFonts w:ascii="Arial" w:hAnsi="Arial" w:hint="default"/>
      </w:rPr>
    </w:lvl>
  </w:abstractNum>
  <w:abstractNum w:abstractNumId="11">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C92544"/>
    <w:multiLevelType w:val="hybridMultilevel"/>
    <w:tmpl w:val="AAB688A0"/>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4F426F"/>
    <w:multiLevelType w:val="hybridMultilevel"/>
    <w:tmpl w:val="0062236A"/>
    <w:lvl w:ilvl="0" w:tplc="0054E02A">
      <w:start w:val="1"/>
      <w:numFmt w:val="bullet"/>
      <w:lvlText w:val="•"/>
      <w:lvlJc w:val="left"/>
      <w:pPr>
        <w:tabs>
          <w:tab w:val="num" w:pos="720"/>
        </w:tabs>
        <w:ind w:left="720" w:hanging="360"/>
      </w:pPr>
      <w:rPr>
        <w:rFonts w:ascii="Arial Unicode MS" w:hAnsi="Arial Unicode MS" w:hint="default"/>
      </w:rPr>
    </w:lvl>
    <w:lvl w:ilvl="1" w:tplc="4E7A2AA8" w:tentative="1">
      <w:start w:val="1"/>
      <w:numFmt w:val="bullet"/>
      <w:lvlText w:val="•"/>
      <w:lvlJc w:val="left"/>
      <w:pPr>
        <w:tabs>
          <w:tab w:val="num" w:pos="1440"/>
        </w:tabs>
        <w:ind w:left="1440" w:hanging="360"/>
      </w:pPr>
      <w:rPr>
        <w:rFonts w:ascii="Arial Unicode MS" w:hAnsi="Arial Unicode MS" w:hint="default"/>
      </w:rPr>
    </w:lvl>
    <w:lvl w:ilvl="2" w:tplc="FE0EE7BE">
      <w:start w:val="1"/>
      <w:numFmt w:val="bullet"/>
      <w:lvlText w:val="•"/>
      <w:lvlJc w:val="left"/>
      <w:pPr>
        <w:tabs>
          <w:tab w:val="num" w:pos="2160"/>
        </w:tabs>
        <w:ind w:left="2160" w:hanging="360"/>
      </w:pPr>
      <w:rPr>
        <w:rFonts w:ascii="Arial Unicode MS" w:hAnsi="Arial Unicode MS" w:hint="default"/>
      </w:rPr>
    </w:lvl>
    <w:lvl w:ilvl="3" w:tplc="EEA86882" w:tentative="1">
      <w:start w:val="1"/>
      <w:numFmt w:val="bullet"/>
      <w:lvlText w:val="•"/>
      <w:lvlJc w:val="left"/>
      <w:pPr>
        <w:tabs>
          <w:tab w:val="num" w:pos="2880"/>
        </w:tabs>
        <w:ind w:left="2880" w:hanging="360"/>
      </w:pPr>
      <w:rPr>
        <w:rFonts w:ascii="Arial Unicode MS" w:hAnsi="Arial Unicode MS" w:hint="default"/>
      </w:rPr>
    </w:lvl>
    <w:lvl w:ilvl="4" w:tplc="E24E763C" w:tentative="1">
      <w:start w:val="1"/>
      <w:numFmt w:val="bullet"/>
      <w:lvlText w:val="•"/>
      <w:lvlJc w:val="left"/>
      <w:pPr>
        <w:tabs>
          <w:tab w:val="num" w:pos="3600"/>
        </w:tabs>
        <w:ind w:left="3600" w:hanging="360"/>
      </w:pPr>
      <w:rPr>
        <w:rFonts w:ascii="Arial Unicode MS" w:hAnsi="Arial Unicode MS" w:hint="default"/>
      </w:rPr>
    </w:lvl>
    <w:lvl w:ilvl="5" w:tplc="5FACDA2C" w:tentative="1">
      <w:start w:val="1"/>
      <w:numFmt w:val="bullet"/>
      <w:lvlText w:val="•"/>
      <w:lvlJc w:val="left"/>
      <w:pPr>
        <w:tabs>
          <w:tab w:val="num" w:pos="4320"/>
        </w:tabs>
        <w:ind w:left="4320" w:hanging="360"/>
      </w:pPr>
      <w:rPr>
        <w:rFonts w:ascii="Arial Unicode MS" w:hAnsi="Arial Unicode MS" w:hint="default"/>
      </w:rPr>
    </w:lvl>
    <w:lvl w:ilvl="6" w:tplc="632C18F2" w:tentative="1">
      <w:start w:val="1"/>
      <w:numFmt w:val="bullet"/>
      <w:lvlText w:val="•"/>
      <w:lvlJc w:val="left"/>
      <w:pPr>
        <w:tabs>
          <w:tab w:val="num" w:pos="5040"/>
        </w:tabs>
        <w:ind w:left="5040" w:hanging="360"/>
      </w:pPr>
      <w:rPr>
        <w:rFonts w:ascii="Arial Unicode MS" w:hAnsi="Arial Unicode MS" w:hint="default"/>
      </w:rPr>
    </w:lvl>
    <w:lvl w:ilvl="7" w:tplc="6608B8E6" w:tentative="1">
      <w:start w:val="1"/>
      <w:numFmt w:val="bullet"/>
      <w:lvlText w:val="•"/>
      <w:lvlJc w:val="left"/>
      <w:pPr>
        <w:tabs>
          <w:tab w:val="num" w:pos="5760"/>
        </w:tabs>
        <w:ind w:left="5760" w:hanging="360"/>
      </w:pPr>
      <w:rPr>
        <w:rFonts w:ascii="Arial Unicode MS" w:hAnsi="Arial Unicode MS" w:hint="default"/>
      </w:rPr>
    </w:lvl>
    <w:lvl w:ilvl="8" w:tplc="EB96716E" w:tentative="1">
      <w:start w:val="1"/>
      <w:numFmt w:val="bullet"/>
      <w:lvlText w:val="•"/>
      <w:lvlJc w:val="left"/>
      <w:pPr>
        <w:tabs>
          <w:tab w:val="num" w:pos="6480"/>
        </w:tabs>
        <w:ind w:left="6480" w:hanging="360"/>
      </w:pPr>
      <w:rPr>
        <w:rFonts w:ascii="Arial Unicode MS" w:hAnsi="Arial Unicode MS" w:hint="default"/>
      </w:rPr>
    </w:lvl>
  </w:abstractNum>
  <w:abstractNum w:abstractNumId="15">
    <w:nsid w:val="4F250B5E"/>
    <w:multiLevelType w:val="hybridMultilevel"/>
    <w:tmpl w:val="7E02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6B0312"/>
    <w:multiLevelType w:val="hybridMultilevel"/>
    <w:tmpl w:val="13481524"/>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7">
    <w:nsid w:val="4FC90821"/>
    <w:multiLevelType w:val="multilevel"/>
    <w:tmpl w:val="5F3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E1158E"/>
    <w:multiLevelType w:val="hybridMultilevel"/>
    <w:tmpl w:val="180CE8BA"/>
    <w:lvl w:ilvl="0" w:tplc="B0A8C158">
      <w:start w:val="1"/>
      <w:numFmt w:val="bullet"/>
      <w:lvlText w:val="•"/>
      <w:lvlJc w:val="left"/>
      <w:pPr>
        <w:tabs>
          <w:tab w:val="num" w:pos="649"/>
        </w:tabs>
        <w:ind w:left="649" w:hanging="479"/>
      </w:pPr>
      <w:rPr>
        <w:rFonts w:ascii="EYInterstate" w:hAnsi="EYInterstat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65675C"/>
    <w:multiLevelType w:val="hybridMultilevel"/>
    <w:tmpl w:val="F6941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7F3EB3"/>
    <w:multiLevelType w:val="hybridMultilevel"/>
    <w:tmpl w:val="0F3CC32E"/>
    <w:lvl w:ilvl="0" w:tplc="42368718">
      <w:start w:val="1"/>
      <w:numFmt w:val="bullet"/>
      <w:lvlText w:val="•"/>
      <w:lvlJc w:val="left"/>
      <w:pPr>
        <w:tabs>
          <w:tab w:val="num" w:pos="720"/>
        </w:tabs>
        <w:ind w:left="720" w:hanging="360"/>
      </w:pPr>
      <w:rPr>
        <w:rFonts w:ascii="Arial Unicode MS" w:hAnsi="Arial Unicode MS" w:hint="default"/>
      </w:rPr>
    </w:lvl>
    <w:lvl w:ilvl="1" w:tplc="375C4FA6" w:tentative="1">
      <w:start w:val="1"/>
      <w:numFmt w:val="bullet"/>
      <w:lvlText w:val="•"/>
      <w:lvlJc w:val="left"/>
      <w:pPr>
        <w:tabs>
          <w:tab w:val="num" w:pos="1440"/>
        </w:tabs>
        <w:ind w:left="1440" w:hanging="360"/>
      </w:pPr>
      <w:rPr>
        <w:rFonts w:ascii="Arial Unicode MS" w:hAnsi="Arial Unicode MS" w:hint="default"/>
      </w:rPr>
    </w:lvl>
    <w:lvl w:ilvl="2" w:tplc="E4B6AAA2">
      <w:start w:val="1"/>
      <w:numFmt w:val="bullet"/>
      <w:lvlText w:val="•"/>
      <w:lvlJc w:val="left"/>
      <w:pPr>
        <w:tabs>
          <w:tab w:val="num" w:pos="2160"/>
        </w:tabs>
        <w:ind w:left="2160" w:hanging="360"/>
      </w:pPr>
      <w:rPr>
        <w:rFonts w:ascii="Arial Unicode MS" w:hAnsi="Arial Unicode MS" w:hint="default"/>
      </w:rPr>
    </w:lvl>
    <w:lvl w:ilvl="3" w:tplc="89C4C2B6" w:tentative="1">
      <w:start w:val="1"/>
      <w:numFmt w:val="bullet"/>
      <w:lvlText w:val="•"/>
      <w:lvlJc w:val="left"/>
      <w:pPr>
        <w:tabs>
          <w:tab w:val="num" w:pos="2880"/>
        </w:tabs>
        <w:ind w:left="2880" w:hanging="360"/>
      </w:pPr>
      <w:rPr>
        <w:rFonts w:ascii="Arial Unicode MS" w:hAnsi="Arial Unicode MS" w:hint="default"/>
      </w:rPr>
    </w:lvl>
    <w:lvl w:ilvl="4" w:tplc="737E15FC" w:tentative="1">
      <w:start w:val="1"/>
      <w:numFmt w:val="bullet"/>
      <w:lvlText w:val="•"/>
      <w:lvlJc w:val="left"/>
      <w:pPr>
        <w:tabs>
          <w:tab w:val="num" w:pos="3600"/>
        </w:tabs>
        <w:ind w:left="3600" w:hanging="360"/>
      </w:pPr>
      <w:rPr>
        <w:rFonts w:ascii="Arial Unicode MS" w:hAnsi="Arial Unicode MS" w:hint="default"/>
      </w:rPr>
    </w:lvl>
    <w:lvl w:ilvl="5" w:tplc="B0C27772" w:tentative="1">
      <w:start w:val="1"/>
      <w:numFmt w:val="bullet"/>
      <w:lvlText w:val="•"/>
      <w:lvlJc w:val="left"/>
      <w:pPr>
        <w:tabs>
          <w:tab w:val="num" w:pos="4320"/>
        </w:tabs>
        <w:ind w:left="4320" w:hanging="360"/>
      </w:pPr>
      <w:rPr>
        <w:rFonts w:ascii="Arial Unicode MS" w:hAnsi="Arial Unicode MS" w:hint="default"/>
      </w:rPr>
    </w:lvl>
    <w:lvl w:ilvl="6" w:tplc="B6FC6936" w:tentative="1">
      <w:start w:val="1"/>
      <w:numFmt w:val="bullet"/>
      <w:lvlText w:val="•"/>
      <w:lvlJc w:val="left"/>
      <w:pPr>
        <w:tabs>
          <w:tab w:val="num" w:pos="5040"/>
        </w:tabs>
        <w:ind w:left="5040" w:hanging="360"/>
      </w:pPr>
      <w:rPr>
        <w:rFonts w:ascii="Arial Unicode MS" w:hAnsi="Arial Unicode MS" w:hint="default"/>
      </w:rPr>
    </w:lvl>
    <w:lvl w:ilvl="7" w:tplc="957ADDEC" w:tentative="1">
      <w:start w:val="1"/>
      <w:numFmt w:val="bullet"/>
      <w:lvlText w:val="•"/>
      <w:lvlJc w:val="left"/>
      <w:pPr>
        <w:tabs>
          <w:tab w:val="num" w:pos="5760"/>
        </w:tabs>
        <w:ind w:left="5760" w:hanging="360"/>
      </w:pPr>
      <w:rPr>
        <w:rFonts w:ascii="Arial Unicode MS" w:hAnsi="Arial Unicode MS" w:hint="default"/>
      </w:rPr>
    </w:lvl>
    <w:lvl w:ilvl="8" w:tplc="635E7CB4" w:tentative="1">
      <w:start w:val="1"/>
      <w:numFmt w:val="bullet"/>
      <w:lvlText w:val="•"/>
      <w:lvlJc w:val="left"/>
      <w:pPr>
        <w:tabs>
          <w:tab w:val="num" w:pos="6480"/>
        </w:tabs>
        <w:ind w:left="6480" w:hanging="360"/>
      </w:pPr>
      <w:rPr>
        <w:rFonts w:ascii="Arial Unicode MS" w:hAnsi="Arial Unicode MS" w:hint="default"/>
      </w:rPr>
    </w:lvl>
  </w:abstractNum>
  <w:abstractNum w:abstractNumId="21">
    <w:nsid w:val="7340416E"/>
    <w:multiLevelType w:val="hybridMultilevel"/>
    <w:tmpl w:val="CA44475A"/>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A05F72"/>
    <w:multiLevelType w:val="hybridMultilevel"/>
    <w:tmpl w:val="B6DE0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7177F0F"/>
    <w:multiLevelType w:val="hybridMultilevel"/>
    <w:tmpl w:val="47FCDFEC"/>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432BC0"/>
    <w:multiLevelType w:val="hybridMultilevel"/>
    <w:tmpl w:val="3F74D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A22E4E"/>
    <w:multiLevelType w:val="hybridMultilevel"/>
    <w:tmpl w:val="F55086D2"/>
    <w:lvl w:ilvl="0" w:tplc="B4489C52">
      <w:start w:val="1"/>
      <w:numFmt w:val="bullet"/>
      <w:lvlText w:val="►"/>
      <w:lvlJc w:val="left"/>
      <w:pPr>
        <w:tabs>
          <w:tab w:val="num" w:pos="720"/>
        </w:tabs>
        <w:ind w:left="720" w:hanging="360"/>
      </w:pPr>
      <w:rPr>
        <w:rFonts w:ascii="Arial" w:hAnsi="Arial" w:hint="default"/>
      </w:rPr>
    </w:lvl>
    <w:lvl w:ilvl="1" w:tplc="7144BB84" w:tentative="1">
      <w:start w:val="1"/>
      <w:numFmt w:val="bullet"/>
      <w:lvlText w:val="►"/>
      <w:lvlJc w:val="left"/>
      <w:pPr>
        <w:tabs>
          <w:tab w:val="num" w:pos="1440"/>
        </w:tabs>
        <w:ind w:left="1440" w:hanging="360"/>
      </w:pPr>
      <w:rPr>
        <w:rFonts w:ascii="Arial" w:hAnsi="Arial" w:hint="default"/>
      </w:rPr>
    </w:lvl>
    <w:lvl w:ilvl="2" w:tplc="32F66426" w:tentative="1">
      <w:start w:val="1"/>
      <w:numFmt w:val="bullet"/>
      <w:lvlText w:val="►"/>
      <w:lvlJc w:val="left"/>
      <w:pPr>
        <w:tabs>
          <w:tab w:val="num" w:pos="2160"/>
        </w:tabs>
        <w:ind w:left="2160" w:hanging="360"/>
      </w:pPr>
      <w:rPr>
        <w:rFonts w:ascii="Arial" w:hAnsi="Arial" w:hint="default"/>
      </w:rPr>
    </w:lvl>
    <w:lvl w:ilvl="3" w:tplc="8B6E5AF4" w:tentative="1">
      <w:start w:val="1"/>
      <w:numFmt w:val="bullet"/>
      <w:lvlText w:val="►"/>
      <w:lvlJc w:val="left"/>
      <w:pPr>
        <w:tabs>
          <w:tab w:val="num" w:pos="2880"/>
        </w:tabs>
        <w:ind w:left="2880" w:hanging="360"/>
      </w:pPr>
      <w:rPr>
        <w:rFonts w:ascii="Arial" w:hAnsi="Arial" w:hint="default"/>
      </w:rPr>
    </w:lvl>
    <w:lvl w:ilvl="4" w:tplc="C68A1B2E" w:tentative="1">
      <w:start w:val="1"/>
      <w:numFmt w:val="bullet"/>
      <w:lvlText w:val="►"/>
      <w:lvlJc w:val="left"/>
      <w:pPr>
        <w:tabs>
          <w:tab w:val="num" w:pos="3600"/>
        </w:tabs>
        <w:ind w:left="3600" w:hanging="360"/>
      </w:pPr>
      <w:rPr>
        <w:rFonts w:ascii="Arial" w:hAnsi="Arial" w:hint="default"/>
      </w:rPr>
    </w:lvl>
    <w:lvl w:ilvl="5" w:tplc="10FAB592" w:tentative="1">
      <w:start w:val="1"/>
      <w:numFmt w:val="bullet"/>
      <w:lvlText w:val="►"/>
      <w:lvlJc w:val="left"/>
      <w:pPr>
        <w:tabs>
          <w:tab w:val="num" w:pos="4320"/>
        </w:tabs>
        <w:ind w:left="4320" w:hanging="360"/>
      </w:pPr>
      <w:rPr>
        <w:rFonts w:ascii="Arial" w:hAnsi="Arial" w:hint="default"/>
      </w:rPr>
    </w:lvl>
    <w:lvl w:ilvl="6" w:tplc="588EBB44" w:tentative="1">
      <w:start w:val="1"/>
      <w:numFmt w:val="bullet"/>
      <w:lvlText w:val="►"/>
      <w:lvlJc w:val="left"/>
      <w:pPr>
        <w:tabs>
          <w:tab w:val="num" w:pos="5040"/>
        </w:tabs>
        <w:ind w:left="5040" w:hanging="360"/>
      </w:pPr>
      <w:rPr>
        <w:rFonts w:ascii="Arial" w:hAnsi="Arial" w:hint="default"/>
      </w:rPr>
    </w:lvl>
    <w:lvl w:ilvl="7" w:tplc="BE5452E6" w:tentative="1">
      <w:start w:val="1"/>
      <w:numFmt w:val="bullet"/>
      <w:lvlText w:val="►"/>
      <w:lvlJc w:val="left"/>
      <w:pPr>
        <w:tabs>
          <w:tab w:val="num" w:pos="5760"/>
        </w:tabs>
        <w:ind w:left="5760" w:hanging="360"/>
      </w:pPr>
      <w:rPr>
        <w:rFonts w:ascii="Arial" w:hAnsi="Arial" w:hint="default"/>
      </w:rPr>
    </w:lvl>
    <w:lvl w:ilvl="8" w:tplc="BB9A8EAE"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1"/>
  </w:num>
  <w:num w:numId="3">
    <w:abstractNumId w:val="17"/>
  </w:num>
  <w:num w:numId="4">
    <w:abstractNumId w:val="14"/>
  </w:num>
  <w:num w:numId="5">
    <w:abstractNumId w:val="0"/>
  </w:num>
  <w:num w:numId="6">
    <w:abstractNumId w:val="20"/>
  </w:num>
  <w:num w:numId="7">
    <w:abstractNumId w:val="7"/>
  </w:num>
  <w:num w:numId="8">
    <w:abstractNumId w:val="5"/>
  </w:num>
  <w:num w:numId="9">
    <w:abstractNumId w:val="22"/>
  </w:num>
  <w:num w:numId="10">
    <w:abstractNumId w:val="9"/>
  </w:num>
  <w:num w:numId="11">
    <w:abstractNumId w:val="18"/>
  </w:num>
  <w:num w:numId="12">
    <w:abstractNumId w:val="8"/>
  </w:num>
  <w:num w:numId="13">
    <w:abstractNumId w:val="21"/>
  </w:num>
  <w:num w:numId="14">
    <w:abstractNumId w:val="19"/>
  </w:num>
  <w:num w:numId="15">
    <w:abstractNumId w:val="13"/>
  </w:num>
  <w:num w:numId="16">
    <w:abstractNumId w:val="23"/>
  </w:num>
  <w:num w:numId="17">
    <w:abstractNumId w:val="4"/>
  </w:num>
  <w:num w:numId="18">
    <w:abstractNumId w:val="15"/>
  </w:num>
  <w:num w:numId="19">
    <w:abstractNumId w:val="6"/>
  </w:num>
  <w:num w:numId="20">
    <w:abstractNumId w:val="16"/>
  </w:num>
  <w:num w:numId="21">
    <w:abstractNumId w:val="3"/>
  </w:num>
  <w:num w:numId="22">
    <w:abstractNumId w:val="1"/>
  </w:num>
  <w:num w:numId="23">
    <w:abstractNumId w:val="26"/>
  </w:num>
  <w:num w:numId="24">
    <w:abstractNumId w:val="10"/>
  </w:num>
  <w:num w:numId="25">
    <w:abstractNumId w:val="2"/>
  </w:num>
  <w:num w:numId="26">
    <w:abstractNumId w:val="2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83139"/>
    <w:rsid w:val="0000287A"/>
    <w:rsid w:val="0001142C"/>
    <w:rsid w:val="00017E06"/>
    <w:rsid w:val="0002414B"/>
    <w:rsid w:val="000303F6"/>
    <w:rsid w:val="000330B7"/>
    <w:rsid w:val="00035671"/>
    <w:rsid w:val="00075EA5"/>
    <w:rsid w:val="00076D3C"/>
    <w:rsid w:val="000806AE"/>
    <w:rsid w:val="00086210"/>
    <w:rsid w:val="000916BC"/>
    <w:rsid w:val="000E1CCF"/>
    <w:rsid w:val="000E6FB9"/>
    <w:rsid w:val="000F138B"/>
    <w:rsid w:val="0010602A"/>
    <w:rsid w:val="00125FA2"/>
    <w:rsid w:val="0013013D"/>
    <w:rsid w:val="00133E72"/>
    <w:rsid w:val="001475A7"/>
    <w:rsid w:val="001579E8"/>
    <w:rsid w:val="00172F72"/>
    <w:rsid w:val="0018203D"/>
    <w:rsid w:val="001824BC"/>
    <w:rsid w:val="001C223D"/>
    <w:rsid w:val="001E45C3"/>
    <w:rsid w:val="001E59F8"/>
    <w:rsid w:val="001F2DBB"/>
    <w:rsid w:val="002014D2"/>
    <w:rsid w:val="00204534"/>
    <w:rsid w:val="00206AAB"/>
    <w:rsid w:val="00214468"/>
    <w:rsid w:val="0022013D"/>
    <w:rsid w:val="00232387"/>
    <w:rsid w:val="0023567F"/>
    <w:rsid w:val="0024581F"/>
    <w:rsid w:val="00256824"/>
    <w:rsid w:val="00270C72"/>
    <w:rsid w:val="00280BC1"/>
    <w:rsid w:val="00283139"/>
    <w:rsid w:val="002A348F"/>
    <w:rsid w:val="002A7E9B"/>
    <w:rsid w:val="002A7F08"/>
    <w:rsid w:val="002B1541"/>
    <w:rsid w:val="002D465A"/>
    <w:rsid w:val="002D5243"/>
    <w:rsid w:val="002E04DA"/>
    <w:rsid w:val="002E10FC"/>
    <w:rsid w:val="002E6888"/>
    <w:rsid w:val="002F2CD1"/>
    <w:rsid w:val="002F3AFA"/>
    <w:rsid w:val="002F3CF1"/>
    <w:rsid w:val="003023D2"/>
    <w:rsid w:val="00304CE3"/>
    <w:rsid w:val="00310F6E"/>
    <w:rsid w:val="00315728"/>
    <w:rsid w:val="003229A7"/>
    <w:rsid w:val="00335C59"/>
    <w:rsid w:val="00345839"/>
    <w:rsid w:val="00361183"/>
    <w:rsid w:val="00372629"/>
    <w:rsid w:val="0038296A"/>
    <w:rsid w:val="003C120A"/>
    <w:rsid w:val="003C7866"/>
    <w:rsid w:val="003F33BC"/>
    <w:rsid w:val="00406FC7"/>
    <w:rsid w:val="00410C01"/>
    <w:rsid w:val="004418CB"/>
    <w:rsid w:val="00462A07"/>
    <w:rsid w:val="004754BF"/>
    <w:rsid w:val="004A006A"/>
    <w:rsid w:val="004E26B6"/>
    <w:rsid w:val="004F6D2E"/>
    <w:rsid w:val="00502993"/>
    <w:rsid w:val="005036EA"/>
    <w:rsid w:val="00510ABC"/>
    <w:rsid w:val="00511187"/>
    <w:rsid w:val="0056155A"/>
    <w:rsid w:val="00564935"/>
    <w:rsid w:val="00570F9A"/>
    <w:rsid w:val="005738A5"/>
    <w:rsid w:val="005A1665"/>
    <w:rsid w:val="005B3DB7"/>
    <w:rsid w:val="005B5E1B"/>
    <w:rsid w:val="005C136C"/>
    <w:rsid w:val="005D7E4C"/>
    <w:rsid w:val="005E11EE"/>
    <w:rsid w:val="005E5E00"/>
    <w:rsid w:val="005F536D"/>
    <w:rsid w:val="006133FF"/>
    <w:rsid w:val="006357DD"/>
    <w:rsid w:val="0065190D"/>
    <w:rsid w:val="00660DFD"/>
    <w:rsid w:val="00661F6E"/>
    <w:rsid w:val="006C35E9"/>
    <w:rsid w:val="006C51DC"/>
    <w:rsid w:val="006F1367"/>
    <w:rsid w:val="006F43FA"/>
    <w:rsid w:val="006F5C46"/>
    <w:rsid w:val="00710E75"/>
    <w:rsid w:val="007154DB"/>
    <w:rsid w:val="00736E16"/>
    <w:rsid w:val="0074131F"/>
    <w:rsid w:val="00756BBC"/>
    <w:rsid w:val="00757B11"/>
    <w:rsid w:val="007744FF"/>
    <w:rsid w:val="007911EB"/>
    <w:rsid w:val="007C4966"/>
    <w:rsid w:val="007E7F29"/>
    <w:rsid w:val="007F2C59"/>
    <w:rsid w:val="007F5868"/>
    <w:rsid w:val="007F7ABE"/>
    <w:rsid w:val="00816639"/>
    <w:rsid w:val="00822065"/>
    <w:rsid w:val="00823B75"/>
    <w:rsid w:val="00850053"/>
    <w:rsid w:val="00872975"/>
    <w:rsid w:val="00895227"/>
    <w:rsid w:val="00897259"/>
    <w:rsid w:val="008A2E38"/>
    <w:rsid w:val="008A4CBA"/>
    <w:rsid w:val="008A58BE"/>
    <w:rsid w:val="008C6E85"/>
    <w:rsid w:val="008C72D0"/>
    <w:rsid w:val="008C7AE9"/>
    <w:rsid w:val="008D65CD"/>
    <w:rsid w:val="008E2074"/>
    <w:rsid w:val="00913206"/>
    <w:rsid w:val="00915713"/>
    <w:rsid w:val="00926283"/>
    <w:rsid w:val="00927992"/>
    <w:rsid w:val="00941425"/>
    <w:rsid w:val="00946048"/>
    <w:rsid w:val="00982C79"/>
    <w:rsid w:val="00984F64"/>
    <w:rsid w:val="009865CA"/>
    <w:rsid w:val="009B7798"/>
    <w:rsid w:val="009C6FC5"/>
    <w:rsid w:val="009E2FA7"/>
    <w:rsid w:val="009E5FCF"/>
    <w:rsid w:val="009E6147"/>
    <w:rsid w:val="00A43303"/>
    <w:rsid w:val="00A51E1D"/>
    <w:rsid w:val="00A83DA3"/>
    <w:rsid w:val="00A935BF"/>
    <w:rsid w:val="00A93EC7"/>
    <w:rsid w:val="00AC172A"/>
    <w:rsid w:val="00AD1A9D"/>
    <w:rsid w:val="00AD2B80"/>
    <w:rsid w:val="00B02C95"/>
    <w:rsid w:val="00B04A84"/>
    <w:rsid w:val="00B15AC3"/>
    <w:rsid w:val="00B20F20"/>
    <w:rsid w:val="00B26A43"/>
    <w:rsid w:val="00B329DD"/>
    <w:rsid w:val="00B33761"/>
    <w:rsid w:val="00B5424D"/>
    <w:rsid w:val="00B61D62"/>
    <w:rsid w:val="00B62525"/>
    <w:rsid w:val="00B67F1B"/>
    <w:rsid w:val="00B73A4F"/>
    <w:rsid w:val="00B830E8"/>
    <w:rsid w:val="00BF4B65"/>
    <w:rsid w:val="00BF4F59"/>
    <w:rsid w:val="00C0029C"/>
    <w:rsid w:val="00C016D7"/>
    <w:rsid w:val="00C03464"/>
    <w:rsid w:val="00C04A75"/>
    <w:rsid w:val="00C12D31"/>
    <w:rsid w:val="00C3754C"/>
    <w:rsid w:val="00C4135B"/>
    <w:rsid w:val="00C637FC"/>
    <w:rsid w:val="00C723EB"/>
    <w:rsid w:val="00C86A37"/>
    <w:rsid w:val="00C94D5A"/>
    <w:rsid w:val="00CA06C2"/>
    <w:rsid w:val="00CA4511"/>
    <w:rsid w:val="00CB176B"/>
    <w:rsid w:val="00CD1FBD"/>
    <w:rsid w:val="00CE43E4"/>
    <w:rsid w:val="00CE6D73"/>
    <w:rsid w:val="00CF7B1D"/>
    <w:rsid w:val="00D0559A"/>
    <w:rsid w:val="00D2109B"/>
    <w:rsid w:val="00D22C63"/>
    <w:rsid w:val="00D374A3"/>
    <w:rsid w:val="00D43464"/>
    <w:rsid w:val="00D61A18"/>
    <w:rsid w:val="00D668B8"/>
    <w:rsid w:val="00D67CE3"/>
    <w:rsid w:val="00D737CC"/>
    <w:rsid w:val="00D94D0E"/>
    <w:rsid w:val="00D97C7B"/>
    <w:rsid w:val="00DA219B"/>
    <w:rsid w:val="00DD024B"/>
    <w:rsid w:val="00DE2FA0"/>
    <w:rsid w:val="00DF317F"/>
    <w:rsid w:val="00E04D57"/>
    <w:rsid w:val="00E15B9B"/>
    <w:rsid w:val="00E16959"/>
    <w:rsid w:val="00E27029"/>
    <w:rsid w:val="00E7680E"/>
    <w:rsid w:val="00E85845"/>
    <w:rsid w:val="00EA47FA"/>
    <w:rsid w:val="00EB1316"/>
    <w:rsid w:val="00EC6C4E"/>
    <w:rsid w:val="00EE1A13"/>
    <w:rsid w:val="00EE231D"/>
    <w:rsid w:val="00F35A71"/>
    <w:rsid w:val="00F6154C"/>
    <w:rsid w:val="00F63F61"/>
    <w:rsid w:val="00F64D37"/>
    <w:rsid w:val="00F735B2"/>
    <w:rsid w:val="00F859EF"/>
    <w:rsid w:val="00FA478E"/>
    <w:rsid w:val="00FA780E"/>
    <w:rsid w:val="00FB166E"/>
    <w:rsid w:val="00FB2484"/>
    <w:rsid w:val="00FD3C9E"/>
    <w:rsid w:val="00FF05F3"/>
    <w:rsid w:val="00FF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029"/>
    <w:rPr>
      <w:sz w:val="24"/>
      <w:szCs w:val="24"/>
      <w:lang w:eastAsia="en-US"/>
    </w:rPr>
  </w:style>
  <w:style w:type="paragraph" w:styleId="Heading2">
    <w:name w:val="heading 2"/>
    <w:basedOn w:val="Normal"/>
    <w:qFormat/>
    <w:rsid w:val="00E27029"/>
    <w:pPr>
      <w:spacing w:before="100" w:beforeAutospacing="1" w:after="100" w:afterAutospacing="1"/>
      <w:outlineLvl w:val="1"/>
    </w:pPr>
    <w:rPr>
      <w:b/>
      <w:bCs/>
      <w:color w:val="000000"/>
      <w:sz w:val="36"/>
      <w:szCs w:val="36"/>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029"/>
    <w:pPr>
      <w:tabs>
        <w:tab w:val="center" w:pos="4320"/>
        <w:tab w:val="right" w:pos="8640"/>
      </w:tabs>
    </w:pPr>
  </w:style>
  <w:style w:type="paragraph" w:styleId="Footer">
    <w:name w:val="footer"/>
    <w:basedOn w:val="Normal"/>
    <w:rsid w:val="00E27029"/>
    <w:pPr>
      <w:tabs>
        <w:tab w:val="center" w:pos="4320"/>
        <w:tab w:val="right" w:pos="8640"/>
      </w:tabs>
    </w:pPr>
  </w:style>
  <w:style w:type="paragraph" w:customStyle="1" w:styleId="CharCharCharCharCharChar">
    <w:name w:val="Char Char Char Char Char Char"/>
    <w:basedOn w:val="Normal"/>
    <w:rsid w:val="00E27029"/>
    <w:pPr>
      <w:spacing w:after="160" w:line="240" w:lineRule="exact"/>
    </w:pPr>
    <w:rPr>
      <w:rFonts w:ascii="Verdana" w:hAnsi="Verdana"/>
      <w:lang w:val="en-US"/>
    </w:rPr>
  </w:style>
  <w:style w:type="paragraph" w:customStyle="1" w:styleId="EYNormal">
    <w:name w:val="EY Normal"/>
    <w:link w:val="EYNormalChar"/>
    <w:rsid w:val="00E27029"/>
    <w:pPr>
      <w:suppressAutoHyphens/>
    </w:pPr>
    <w:rPr>
      <w:rFonts w:ascii="Arial" w:hAnsi="Arial"/>
      <w:kern w:val="12"/>
      <w:sz w:val="11"/>
      <w:szCs w:val="24"/>
      <w:lang w:val="en-GB" w:eastAsia="en-US"/>
    </w:rPr>
  </w:style>
  <w:style w:type="paragraph" w:customStyle="1" w:styleId="EYBodytextsolid">
    <w:name w:val="EY Body text (solid)"/>
    <w:basedOn w:val="EYNormal"/>
    <w:rsid w:val="00E27029"/>
    <w:pPr>
      <w:tabs>
        <w:tab w:val="left" w:pos="907"/>
      </w:tabs>
      <w:spacing w:line="520" w:lineRule="atLeast"/>
    </w:pPr>
    <w:rPr>
      <w:sz w:val="22"/>
    </w:rPr>
  </w:style>
  <w:style w:type="paragraph" w:customStyle="1" w:styleId="EYBoldsubjectheading">
    <w:name w:val="EY Bold subject heading"/>
    <w:basedOn w:val="EYNormal"/>
    <w:rsid w:val="00E27029"/>
    <w:pPr>
      <w:spacing w:before="480" w:line="260" w:lineRule="atLeast"/>
    </w:pPr>
    <w:rPr>
      <w:b/>
      <w:sz w:val="26"/>
    </w:rPr>
  </w:style>
  <w:style w:type="paragraph" w:customStyle="1" w:styleId="EYFooterinfo">
    <w:name w:val="EY Footer info"/>
    <w:basedOn w:val="EYNormal"/>
    <w:rsid w:val="00E27029"/>
    <w:rPr>
      <w:color w:val="666666"/>
    </w:rPr>
  </w:style>
  <w:style w:type="paragraph" w:customStyle="1" w:styleId="EYDocumentpromptsbold">
    <w:name w:val="EY Document prompts (bold)"/>
    <w:basedOn w:val="EYDocumentprompts"/>
    <w:rsid w:val="00E27029"/>
    <w:rPr>
      <w:rFonts w:ascii="Arial Bold" w:hAnsi="Arial Bold"/>
      <w:b/>
    </w:rPr>
  </w:style>
  <w:style w:type="paragraph" w:customStyle="1" w:styleId="EYContinuationheader">
    <w:name w:val="EY Continuation header"/>
    <w:basedOn w:val="EYBodytextsolid"/>
    <w:rsid w:val="00E27029"/>
    <w:pPr>
      <w:tabs>
        <w:tab w:val="clear" w:pos="907"/>
        <w:tab w:val="left" w:pos="2495"/>
      </w:tabs>
      <w:spacing w:line="260" w:lineRule="atLeast"/>
    </w:pPr>
  </w:style>
  <w:style w:type="paragraph" w:customStyle="1" w:styleId="EYBusinessaddress">
    <w:name w:val="EY Business address"/>
    <w:basedOn w:val="EYNormal"/>
    <w:rsid w:val="00E27029"/>
    <w:pPr>
      <w:spacing w:line="170" w:lineRule="atLeast"/>
    </w:pPr>
    <w:rPr>
      <w:color w:val="666666"/>
      <w:sz w:val="15"/>
    </w:rPr>
  </w:style>
  <w:style w:type="character" w:customStyle="1" w:styleId="EYBodytextwithparaspaceChar">
    <w:name w:val="EY Body text (with para space) Char"/>
    <w:basedOn w:val="DefaultParagraphFont"/>
    <w:uiPriority w:val="99"/>
    <w:rsid w:val="00E27029"/>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E27029"/>
    <w:pPr>
      <w:tabs>
        <w:tab w:val="clear" w:pos="907"/>
      </w:tabs>
      <w:spacing w:line="240" w:lineRule="auto"/>
    </w:pPr>
    <w:rPr>
      <w:spacing w:val="-4"/>
      <w:sz w:val="36"/>
    </w:rPr>
  </w:style>
  <w:style w:type="paragraph" w:customStyle="1" w:styleId="EYDocumentprompts">
    <w:name w:val="EY Document prompts"/>
    <w:basedOn w:val="EYNormal"/>
    <w:rsid w:val="00E27029"/>
    <w:pPr>
      <w:spacing w:line="240" w:lineRule="atLeast"/>
    </w:pPr>
    <w:rPr>
      <w:sz w:val="20"/>
    </w:rPr>
  </w:style>
  <w:style w:type="paragraph" w:customStyle="1" w:styleId="EYBodytextsubhead1">
    <w:name w:val="EY Body text subhead 1"/>
    <w:basedOn w:val="EYBodytextsolid"/>
    <w:rsid w:val="00E27029"/>
    <w:pPr>
      <w:spacing w:after="180"/>
    </w:pPr>
    <w:rPr>
      <w:rFonts w:ascii="Arial Bold" w:hAnsi="Arial Bold"/>
      <w:b/>
    </w:rPr>
  </w:style>
  <w:style w:type="paragraph" w:customStyle="1" w:styleId="EYBodytextsubhead2">
    <w:name w:val="EY Body text subhead 2"/>
    <w:basedOn w:val="EYBodytextsolid"/>
    <w:rsid w:val="00E27029"/>
    <w:pPr>
      <w:spacing w:after="180"/>
    </w:pPr>
    <w:rPr>
      <w:rFonts w:ascii="Arial Bold" w:hAnsi="Arial Bold"/>
      <w:b/>
      <w:i/>
    </w:rPr>
  </w:style>
  <w:style w:type="paragraph" w:customStyle="1" w:styleId="EYBodytextwithparaspace">
    <w:name w:val="EY Body text (with para space)"/>
    <w:basedOn w:val="EYBodytextsolid"/>
    <w:rsid w:val="00E27029"/>
    <w:pPr>
      <w:spacing w:after="400" w:line="360" w:lineRule="auto"/>
    </w:pPr>
  </w:style>
  <w:style w:type="paragraph" w:customStyle="1" w:styleId="EYDate">
    <w:name w:val="EY Date"/>
    <w:basedOn w:val="EYDocumentprompts"/>
    <w:rsid w:val="00E27029"/>
  </w:style>
  <w:style w:type="paragraph" w:customStyle="1" w:styleId="EYBulletedtext1">
    <w:name w:val="EY Bulleted text 1"/>
    <w:basedOn w:val="EYBodytextwithparaspace"/>
    <w:rsid w:val="00E27029"/>
    <w:pPr>
      <w:numPr>
        <w:numId w:val="1"/>
      </w:numPr>
    </w:pPr>
  </w:style>
  <w:style w:type="paragraph" w:customStyle="1" w:styleId="EYBulletedtext2">
    <w:name w:val="EY Bulleted text 2"/>
    <w:basedOn w:val="EYBodytextwithparaspace"/>
    <w:rsid w:val="00E27029"/>
    <w:pPr>
      <w:numPr>
        <w:numId w:val="2"/>
      </w:numPr>
    </w:pPr>
  </w:style>
  <w:style w:type="paragraph" w:customStyle="1" w:styleId="EYBusinessaddressbold">
    <w:name w:val="EY Business address (bold)"/>
    <w:basedOn w:val="EYBusinessaddress"/>
    <w:next w:val="EYBusinessaddress"/>
    <w:rsid w:val="00E27029"/>
    <w:rPr>
      <w:rFonts w:ascii="Arial Bold" w:hAnsi="Arial Bold"/>
      <w:b/>
    </w:rPr>
  </w:style>
  <w:style w:type="character" w:styleId="CommentReference">
    <w:name w:val="annotation reference"/>
    <w:basedOn w:val="DefaultParagraphFont"/>
    <w:semiHidden/>
    <w:rsid w:val="00E27029"/>
    <w:rPr>
      <w:sz w:val="16"/>
      <w:szCs w:val="16"/>
    </w:rPr>
  </w:style>
  <w:style w:type="paragraph" w:styleId="CommentText">
    <w:name w:val="annotation text"/>
    <w:basedOn w:val="Normal"/>
    <w:link w:val="CommentTextChar"/>
    <w:semiHidden/>
    <w:rsid w:val="00E27029"/>
    <w:rPr>
      <w:sz w:val="20"/>
      <w:szCs w:val="20"/>
    </w:rPr>
  </w:style>
  <w:style w:type="paragraph" w:styleId="BalloonText">
    <w:name w:val="Balloon Text"/>
    <w:basedOn w:val="Normal"/>
    <w:semiHidden/>
    <w:rsid w:val="00E27029"/>
    <w:rPr>
      <w:rFonts w:ascii="Tahoma" w:hAnsi="Tahoma" w:cs="Tahoma"/>
      <w:sz w:val="16"/>
      <w:szCs w:val="16"/>
    </w:rPr>
  </w:style>
  <w:style w:type="character" w:styleId="Hyperlink">
    <w:name w:val="Hyperlink"/>
    <w:basedOn w:val="DefaultParagraphFont"/>
    <w:rsid w:val="00E27029"/>
    <w:rPr>
      <w:color w:val="0000FF"/>
      <w:u w:val="single"/>
    </w:rPr>
  </w:style>
  <w:style w:type="paragraph" w:styleId="CommentSubject">
    <w:name w:val="annotation subject"/>
    <w:basedOn w:val="CommentText"/>
    <w:next w:val="CommentText"/>
    <w:semiHidden/>
    <w:rsid w:val="00E27029"/>
    <w:rPr>
      <w:b/>
      <w:bCs/>
    </w:rPr>
  </w:style>
  <w:style w:type="paragraph" w:customStyle="1" w:styleId="intro">
    <w:name w:val="intro"/>
    <w:basedOn w:val="Normal"/>
    <w:rsid w:val="00E27029"/>
    <w:pPr>
      <w:spacing w:before="100" w:beforeAutospacing="1" w:after="100" w:afterAutospacing="1"/>
    </w:pPr>
    <w:rPr>
      <w:color w:val="000000"/>
      <w:lang w:eastAsia="cs-CZ"/>
    </w:rPr>
  </w:style>
  <w:style w:type="character" w:customStyle="1" w:styleId="CharChar">
    <w:name w:val="Char Char"/>
    <w:basedOn w:val="DefaultParagraphFont"/>
    <w:rsid w:val="00E27029"/>
    <w:rPr>
      <w:b/>
      <w:bCs/>
      <w:color w:val="000000"/>
      <w:sz w:val="36"/>
      <w:szCs w:val="36"/>
    </w:rPr>
  </w:style>
  <w:style w:type="paragraph" w:styleId="NormalWeb">
    <w:name w:val="Normal (Web)"/>
    <w:basedOn w:val="Normal"/>
    <w:uiPriority w:val="99"/>
    <w:unhideWhenUsed/>
    <w:rsid w:val="00E27029"/>
    <w:pPr>
      <w:spacing w:before="100" w:beforeAutospacing="1" w:after="100" w:afterAutospacing="1"/>
    </w:pPr>
    <w:rPr>
      <w:color w:val="000000"/>
      <w:lang w:eastAsia="cs-CZ"/>
    </w:rPr>
  </w:style>
  <w:style w:type="paragraph" w:customStyle="1" w:styleId="EYHeading3">
    <w:name w:val="EY Heading 3"/>
    <w:basedOn w:val="Normal"/>
    <w:next w:val="EYBodytextwithparaspace"/>
    <w:link w:val="EYHeading3Char"/>
    <w:rsid w:val="00E27029"/>
    <w:pPr>
      <w:keepNext/>
      <w:suppressAutoHyphens/>
      <w:spacing w:before="120" w:after="120"/>
    </w:pPr>
    <w:rPr>
      <w:rFonts w:ascii="Arial" w:hAnsi="Arial"/>
      <w:b/>
      <w:i/>
      <w:kern w:val="12"/>
      <w:sz w:val="22"/>
      <w:lang w:val="en-GB"/>
    </w:rPr>
  </w:style>
  <w:style w:type="character" w:customStyle="1" w:styleId="EYHeading3Char">
    <w:name w:val="EY Heading 3 Char"/>
    <w:basedOn w:val="DefaultParagraphFont"/>
    <w:link w:val="EYHeading3"/>
    <w:rsid w:val="00E27029"/>
    <w:rPr>
      <w:rFonts w:ascii="Arial" w:hAnsi="Arial"/>
      <w:b/>
      <w:i/>
      <w:kern w:val="12"/>
      <w:sz w:val="22"/>
      <w:szCs w:val="24"/>
      <w:lang w:val="en-GB" w:eastAsia="en-US" w:bidi="ar-SA"/>
    </w:rPr>
  </w:style>
  <w:style w:type="paragraph" w:customStyle="1" w:styleId="EYHeading1">
    <w:name w:val="EY Heading 1"/>
    <w:basedOn w:val="EYNormal"/>
    <w:next w:val="EYBodytextwithparaspace"/>
    <w:link w:val="EYHeading1Char"/>
    <w:rsid w:val="00E27029"/>
    <w:pPr>
      <w:keepNext/>
      <w:spacing w:before="120" w:after="240"/>
    </w:pPr>
    <w:rPr>
      <w:b/>
      <w:sz w:val="26"/>
    </w:rPr>
  </w:style>
  <w:style w:type="character" w:customStyle="1" w:styleId="EYHeading1Char">
    <w:name w:val="EY Heading 1 Char"/>
    <w:basedOn w:val="DefaultParagraphFont"/>
    <w:link w:val="EYHeading1"/>
    <w:rsid w:val="00E27029"/>
    <w:rPr>
      <w:rFonts w:ascii="Arial" w:hAnsi="Arial"/>
      <w:b/>
      <w:kern w:val="12"/>
      <w:sz w:val="26"/>
      <w:szCs w:val="24"/>
      <w:lang w:val="en-GB" w:eastAsia="en-US" w:bidi="ar-SA"/>
    </w:rPr>
  </w:style>
  <w:style w:type="paragraph" w:customStyle="1" w:styleId="CRNormal">
    <w:name w:val="CR Normal"/>
    <w:basedOn w:val="Normal"/>
    <w:rsid w:val="00E27029"/>
    <w:pPr>
      <w:spacing w:line="260" w:lineRule="exact"/>
      <w:jc w:val="both"/>
    </w:pPr>
    <w:rPr>
      <w:sz w:val="22"/>
      <w:szCs w:val="20"/>
      <w:lang w:val="en-GB"/>
    </w:rPr>
  </w:style>
  <w:style w:type="paragraph" w:customStyle="1" w:styleId="EYHeading2">
    <w:name w:val="EY Heading 2"/>
    <w:basedOn w:val="EYHeading1"/>
    <w:next w:val="EYBodytextwithparaspace"/>
    <w:link w:val="EYHeading2Char"/>
    <w:rsid w:val="00E27029"/>
    <w:pPr>
      <w:spacing w:after="120"/>
    </w:pPr>
    <w:rPr>
      <w:sz w:val="22"/>
    </w:rPr>
  </w:style>
  <w:style w:type="character" w:customStyle="1" w:styleId="EYHeading2Char">
    <w:name w:val="EY Heading 2 Char"/>
    <w:basedOn w:val="EYHeading1Char"/>
    <w:link w:val="EYHeading2"/>
    <w:rsid w:val="00E27029"/>
    <w:rPr>
      <w:sz w:val="22"/>
    </w:rPr>
  </w:style>
  <w:style w:type="character" w:customStyle="1" w:styleId="EYNormalChar">
    <w:name w:val="EY Normal Char"/>
    <w:basedOn w:val="DefaultParagraphFont"/>
    <w:link w:val="EYNormal"/>
    <w:rsid w:val="00E27029"/>
    <w:rPr>
      <w:rFonts w:ascii="Arial" w:hAnsi="Arial"/>
      <w:kern w:val="12"/>
      <w:sz w:val="11"/>
      <w:szCs w:val="24"/>
      <w:lang w:val="en-GB" w:eastAsia="en-US" w:bidi="ar-SA"/>
    </w:rPr>
  </w:style>
  <w:style w:type="character" w:styleId="Emphasis">
    <w:name w:val="Emphasis"/>
    <w:basedOn w:val="DefaultParagraphFont"/>
    <w:qFormat/>
    <w:rsid w:val="00E27029"/>
    <w:rPr>
      <w:b/>
      <w:bCs/>
      <w:i w:val="0"/>
      <w:iCs w:val="0"/>
    </w:rPr>
  </w:style>
  <w:style w:type="paragraph" w:styleId="ListParagraph">
    <w:name w:val="List Paragraph"/>
    <w:basedOn w:val="Normal"/>
    <w:uiPriority w:val="34"/>
    <w:qFormat/>
    <w:rsid w:val="00E27029"/>
    <w:pPr>
      <w:ind w:left="720"/>
    </w:pPr>
  </w:style>
  <w:style w:type="paragraph" w:styleId="Revision">
    <w:name w:val="Revision"/>
    <w:hidden/>
    <w:uiPriority w:val="99"/>
    <w:semiHidden/>
    <w:rsid w:val="00E27029"/>
    <w:rPr>
      <w:sz w:val="24"/>
      <w:szCs w:val="24"/>
      <w:lang w:eastAsia="en-US"/>
    </w:rPr>
  </w:style>
  <w:style w:type="paragraph" w:customStyle="1" w:styleId="twoline">
    <w:name w:val="twoline"/>
    <w:basedOn w:val="Normal"/>
    <w:rsid w:val="00E27029"/>
    <w:pPr>
      <w:spacing w:before="100" w:beforeAutospacing="1" w:after="100" w:afterAutospacing="1"/>
    </w:pPr>
    <w:rPr>
      <w:lang w:val="en-US"/>
    </w:rPr>
  </w:style>
  <w:style w:type="character" w:styleId="Strong">
    <w:name w:val="Strong"/>
    <w:basedOn w:val="DefaultParagraphFont"/>
    <w:uiPriority w:val="22"/>
    <w:qFormat/>
    <w:rsid w:val="00E27029"/>
    <w:rPr>
      <w:b/>
      <w:bCs/>
    </w:rPr>
  </w:style>
  <w:style w:type="paragraph" w:customStyle="1" w:styleId="pagetext">
    <w:name w:val="pagetext"/>
    <w:basedOn w:val="Normal"/>
    <w:rsid w:val="00E27029"/>
    <w:pPr>
      <w:spacing w:line="336" w:lineRule="auto"/>
    </w:pPr>
    <w:rPr>
      <w:rFonts w:ascii="Arial" w:hAnsi="Arial" w:cs="Arial"/>
      <w:sz w:val="20"/>
      <w:szCs w:val="20"/>
    </w:rPr>
  </w:style>
  <w:style w:type="character" w:customStyle="1" w:styleId="tw4winMark">
    <w:name w:val="tw4winMark"/>
    <w:rsid w:val="00E27029"/>
    <w:rPr>
      <w:rFonts w:ascii="Courier New" w:hAnsi="Courier New"/>
      <w:vanish/>
      <w:color w:val="800080"/>
      <w:vertAlign w:val="subscript"/>
    </w:rPr>
  </w:style>
  <w:style w:type="character" w:customStyle="1" w:styleId="CommentTextChar">
    <w:name w:val="Comment Text Char"/>
    <w:basedOn w:val="DefaultParagraphFont"/>
    <w:link w:val="CommentText"/>
    <w:uiPriority w:val="99"/>
    <w:semiHidden/>
    <w:rsid w:val="00F64D37"/>
    <w:rPr>
      <w:lang w:val="cs-CZ"/>
    </w:rPr>
  </w:style>
  <w:style w:type="character" w:customStyle="1" w:styleId="gbthreadmessagerowdate1">
    <w:name w:val="gbthreadmessagerow_date1"/>
    <w:basedOn w:val="DefaultParagraphFont"/>
    <w:rsid w:val="00AD1A9D"/>
    <w:rPr>
      <w:color w:val="777777"/>
      <w:sz w:val="17"/>
      <w:szCs w:val="17"/>
    </w:rPr>
  </w:style>
  <w:style w:type="character" w:customStyle="1" w:styleId="gbthreadmessagerowreportlink1">
    <w:name w:val="gbthreadmessagerow_reportlink1"/>
    <w:basedOn w:val="DefaultParagraphFont"/>
    <w:rsid w:val="00AD1A9D"/>
    <w:rPr>
      <w:color w:val="777777"/>
      <w:sz w:val="17"/>
      <w:szCs w:val="17"/>
    </w:rPr>
  </w:style>
  <w:style w:type="character" w:styleId="FootnoteReference">
    <w:name w:val="footnote reference"/>
    <w:basedOn w:val="DefaultParagraphFont"/>
    <w:rsid w:val="008C7AE9"/>
    <w:rPr>
      <w:vertAlign w:val="superscript"/>
    </w:rPr>
  </w:style>
</w:styles>
</file>

<file path=word/webSettings.xml><?xml version="1.0" encoding="utf-8"?>
<w:webSettings xmlns:r="http://schemas.openxmlformats.org/officeDocument/2006/relationships" xmlns:w="http://schemas.openxmlformats.org/wordprocessingml/2006/main">
  <w:divs>
    <w:div w:id="285551380">
      <w:bodyDiv w:val="1"/>
      <w:marLeft w:val="0"/>
      <w:marRight w:val="0"/>
      <w:marTop w:val="0"/>
      <w:marBottom w:val="0"/>
      <w:divBdr>
        <w:top w:val="none" w:sz="0" w:space="0" w:color="auto"/>
        <w:left w:val="none" w:sz="0" w:space="0" w:color="auto"/>
        <w:bottom w:val="none" w:sz="0" w:space="0" w:color="auto"/>
        <w:right w:val="none" w:sz="0" w:space="0" w:color="auto"/>
      </w:divBdr>
      <w:divsChild>
        <w:div w:id="662709344">
          <w:marLeft w:val="0"/>
          <w:marRight w:val="0"/>
          <w:marTop w:val="0"/>
          <w:marBottom w:val="0"/>
          <w:divBdr>
            <w:top w:val="none" w:sz="0" w:space="0" w:color="auto"/>
            <w:left w:val="none" w:sz="0" w:space="0" w:color="auto"/>
            <w:bottom w:val="none" w:sz="0" w:space="0" w:color="auto"/>
            <w:right w:val="none" w:sz="0" w:space="0" w:color="auto"/>
          </w:divBdr>
          <w:divsChild>
            <w:div w:id="1121921295">
              <w:marLeft w:val="0"/>
              <w:marRight w:val="0"/>
              <w:marTop w:val="0"/>
              <w:marBottom w:val="0"/>
              <w:divBdr>
                <w:top w:val="none" w:sz="0" w:space="0" w:color="auto"/>
                <w:left w:val="none" w:sz="0" w:space="0" w:color="auto"/>
                <w:bottom w:val="none" w:sz="0" w:space="0" w:color="auto"/>
                <w:right w:val="none" w:sz="0" w:space="0" w:color="auto"/>
              </w:divBdr>
              <w:divsChild>
                <w:div w:id="1531919132">
                  <w:marLeft w:val="-15"/>
                  <w:marRight w:val="0"/>
                  <w:marTop w:val="0"/>
                  <w:marBottom w:val="0"/>
                  <w:divBdr>
                    <w:top w:val="none" w:sz="0" w:space="0" w:color="auto"/>
                    <w:left w:val="none" w:sz="0" w:space="0" w:color="auto"/>
                    <w:bottom w:val="none" w:sz="0" w:space="0" w:color="auto"/>
                    <w:right w:val="none" w:sz="0" w:space="0" w:color="auto"/>
                  </w:divBdr>
                  <w:divsChild>
                    <w:div w:id="583799445">
                      <w:marLeft w:val="0"/>
                      <w:marRight w:val="0"/>
                      <w:marTop w:val="0"/>
                      <w:marBottom w:val="0"/>
                      <w:divBdr>
                        <w:top w:val="none" w:sz="0" w:space="0" w:color="auto"/>
                        <w:left w:val="none" w:sz="0" w:space="0" w:color="auto"/>
                        <w:bottom w:val="none" w:sz="0" w:space="0" w:color="auto"/>
                        <w:right w:val="none" w:sz="0" w:space="0" w:color="auto"/>
                      </w:divBdr>
                      <w:divsChild>
                        <w:div w:id="313336068">
                          <w:marLeft w:val="0"/>
                          <w:marRight w:val="-15"/>
                          <w:marTop w:val="0"/>
                          <w:marBottom w:val="0"/>
                          <w:divBdr>
                            <w:top w:val="none" w:sz="0" w:space="0" w:color="auto"/>
                            <w:left w:val="none" w:sz="0" w:space="0" w:color="auto"/>
                            <w:bottom w:val="none" w:sz="0" w:space="0" w:color="auto"/>
                            <w:right w:val="none" w:sz="0" w:space="0" w:color="auto"/>
                          </w:divBdr>
                          <w:divsChild>
                            <w:div w:id="2027293577">
                              <w:marLeft w:val="0"/>
                              <w:marRight w:val="0"/>
                              <w:marTop w:val="0"/>
                              <w:marBottom w:val="0"/>
                              <w:divBdr>
                                <w:top w:val="none" w:sz="0" w:space="0" w:color="auto"/>
                                <w:left w:val="none" w:sz="0" w:space="0" w:color="auto"/>
                                <w:bottom w:val="none" w:sz="0" w:space="0" w:color="auto"/>
                                <w:right w:val="none" w:sz="0" w:space="0" w:color="auto"/>
                              </w:divBdr>
                              <w:divsChild>
                                <w:div w:id="1343506674">
                                  <w:marLeft w:val="0"/>
                                  <w:marRight w:val="0"/>
                                  <w:marTop w:val="0"/>
                                  <w:marBottom w:val="0"/>
                                  <w:divBdr>
                                    <w:top w:val="none" w:sz="0" w:space="0" w:color="auto"/>
                                    <w:left w:val="none" w:sz="0" w:space="0" w:color="auto"/>
                                    <w:bottom w:val="none" w:sz="0" w:space="0" w:color="auto"/>
                                    <w:right w:val="none" w:sz="0" w:space="0" w:color="auto"/>
                                  </w:divBdr>
                                  <w:divsChild>
                                    <w:div w:id="2049644541">
                                      <w:marLeft w:val="0"/>
                                      <w:marRight w:val="0"/>
                                      <w:marTop w:val="0"/>
                                      <w:marBottom w:val="0"/>
                                      <w:divBdr>
                                        <w:top w:val="none" w:sz="0" w:space="0" w:color="auto"/>
                                        <w:left w:val="none" w:sz="0" w:space="0" w:color="auto"/>
                                        <w:bottom w:val="none" w:sz="0" w:space="0" w:color="auto"/>
                                        <w:right w:val="none" w:sz="0" w:space="0" w:color="auto"/>
                                      </w:divBdr>
                                      <w:divsChild>
                                        <w:div w:id="1509905400">
                                          <w:marLeft w:val="0"/>
                                          <w:marRight w:val="0"/>
                                          <w:marTop w:val="0"/>
                                          <w:marBottom w:val="0"/>
                                          <w:divBdr>
                                            <w:top w:val="none" w:sz="0" w:space="0" w:color="auto"/>
                                            <w:left w:val="none" w:sz="0" w:space="0" w:color="auto"/>
                                            <w:bottom w:val="none" w:sz="0" w:space="0" w:color="auto"/>
                                            <w:right w:val="none" w:sz="0" w:space="0" w:color="auto"/>
                                          </w:divBdr>
                                          <w:divsChild>
                                            <w:div w:id="975335861">
                                              <w:marLeft w:val="0"/>
                                              <w:marRight w:val="0"/>
                                              <w:marTop w:val="0"/>
                                              <w:marBottom w:val="0"/>
                                              <w:divBdr>
                                                <w:top w:val="none" w:sz="0" w:space="0" w:color="auto"/>
                                                <w:left w:val="none" w:sz="0" w:space="0" w:color="auto"/>
                                                <w:bottom w:val="none" w:sz="0" w:space="0" w:color="auto"/>
                                                <w:right w:val="none" w:sz="0" w:space="0" w:color="auto"/>
                                              </w:divBdr>
                                              <w:divsChild>
                                                <w:div w:id="1338920840">
                                                  <w:marLeft w:val="0"/>
                                                  <w:marRight w:val="0"/>
                                                  <w:marTop w:val="0"/>
                                                  <w:marBottom w:val="0"/>
                                                  <w:divBdr>
                                                    <w:top w:val="none" w:sz="0" w:space="0" w:color="auto"/>
                                                    <w:left w:val="none" w:sz="0" w:space="0" w:color="auto"/>
                                                    <w:bottom w:val="none" w:sz="0" w:space="0" w:color="auto"/>
                                                    <w:right w:val="none" w:sz="0" w:space="0" w:color="auto"/>
                                                  </w:divBdr>
                                                  <w:divsChild>
                                                    <w:div w:id="257756780">
                                                      <w:marLeft w:val="0"/>
                                                      <w:marRight w:val="0"/>
                                                      <w:marTop w:val="0"/>
                                                      <w:marBottom w:val="120"/>
                                                      <w:divBdr>
                                                        <w:top w:val="single" w:sz="6" w:space="6" w:color="DDDDDD"/>
                                                        <w:left w:val="none" w:sz="0" w:space="0" w:color="auto"/>
                                                        <w:bottom w:val="none" w:sz="0" w:space="0" w:color="auto"/>
                                                        <w:right w:val="none" w:sz="0" w:space="0" w:color="auto"/>
                                                      </w:divBdr>
                                                      <w:divsChild>
                                                        <w:div w:id="984507476">
                                                          <w:marLeft w:val="0"/>
                                                          <w:marRight w:val="0"/>
                                                          <w:marTop w:val="0"/>
                                                          <w:marBottom w:val="0"/>
                                                          <w:divBdr>
                                                            <w:top w:val="none" w:sz="0" w:space="0" w:color="auto"/>
                                                            <w:left w:val="none" w:sz="0" w:space="0" w:color="auto"/>
                                                            <w:bottom w:val="none" w:sz="0" w:space="0" w:color="auto"/>
                                                            <w:right w:val="none" w:sz="0" w:space="0" w:color="auto"/>
                                                          </w:divBdr>
                                                          <w:divsChild>
                                                            <w:div w:id="356977331">
                                                              <w:marLeft w:val="0"/>
                                                              <w:marRight w:val="0"/>
                                                              <w:marTop w:val="0"/>
                                                              <w:marBottom w:val="60"/>
                                                              <w:divBdr>
                                                                <w:top w:val="none" w:sz="0" w:space="0" w:color="auto"/>
                                                                <w:left w:val="none" w:sz="0" w:space="0" w:color="auto"/>
                                                                <w:bottom w:val="none" w:sz="0" w:space="0" w:color="auto"/>
                                                                <w:right w:val="none" w:sz="0" w:space="0" w:color="auto"/>
                                                              </w:divBdr>
                                                            </w:div>
                                                            <w:div w:id="1023939360">
                                                              <w:marLeft w:val="0"/>
                                                              <w:marRight w:val="0"/>
                                                              <w:marTop w:val="0"/>
                                                              <w:marBottom w:val="0"/>
                                                              <w:divBdr>
                                                                <w:top w:val="none" w:sz="0" w:space="0" w:color="auto"/>
                                                                <w:left w:val="none" w:sz="0" w:space="0" w:color="auto"/>
                                                                <w:bottom w:val="none" w:sz="0" w:space="0" w:color="auto"/>
                                                                <w:right w:val="none" w:sz="0" w:space="0" w:color="auto"/>
                                                              </w:divBdr>
                                                              <w:divsChild>
                                                                <w:div w:id="2996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594710">
      <w:bodyDiv w:val="1"/>
      <w:marLeft w:val="0"/>
      <w:marRight w:val="0"/>
      <w:marTop w:val="0"/>
      <w:marBottom w:val="0"/>
      <w:divBdr>
        <w:top w:val="none" w:sz="0" w:space="0" w:color="auto"/>
        <w:left w:val="none" w:sz="0" w:space="0" w:color="auto"/>
        <w:bottom w:val="none" w:sz="0" w:space="0" w:color="auto"/>
        <w:right w:val="none" w:sz="0" w:space="0" w:color="auto"/>
      </w:divBdr>
      <w:divsChild>
        <w:div w:id="571702391">
          <w:marLeft w:val="648"/>
          <w:marRight w:val="0"/>
          <w:marTop w:val="0"/>
          <w:marBottom w:val="120"/>
          <w:divBdr>
            <w:top w:val="none" w:sz="0" w:space="0" w:color="auto"/>
            <w:left w:val="none" w:sz="0" w:space="0" w:color="auto"/>
            <w:bottom w:val="none" w:sz="0" w:space="0" w:color="auto"/>
            <w:right w:val="none" w:sz="0" w:space="0" w:color="auto"/>
          </w:divBdr>
        </w:div>
        <w:div w:id="789856501">
          <w:marLeft w:val="648"/>
          <w:marRight w:val="0"/>
          <w:marTop w:val="0"/>
          <w:marBottom w:val="120"/>
          <w:divBdr>
            <w:top w:val="none" w:sz="0" w:space="0" w:color="auto"/>
            <w:left w:val="none" w:sz="0" w:space="0" w:color="auto"/>
            <w:bottom w:val="none" w:sz="0" w:space="0" w:color="auto"/>
            <w:right w:val="none" w:sz="0" w:space="0" w:color="auto"/>
          </w:divBdr>
        </w:div>
        <w:div w:id="1156336793">
          <w:marLeft w:val="648"/>
          <w:marRight w:val="0"/>
          <w:marTop w:val="0"/>
          <w:marBottom w:val="120"/>
          <w:divBdr>
            <w:top w:val="none" w:sz="0" w:space="0" w:color="auto"/>
            <w:left w:val="none" w:sz="0" w:space="0" w:color="auto"/>
            <w:bottom w:val="none" w:sz="0" w:space="0" w:color="auto"/>
            <w:right w:val="none" w:sz="0" w:space="0" w:color="auto"/>
          </w:divBdr>
        </w:div>
        <w:div w:id="1270434713">
          <w:marLeft w:val="648"/>
          <w:marRight w:val="0"/>
          <w:marTop w:val="0"/>
          <w:marBottom w:val="120"/>
          <w:divBdr>
            <w:top w:val="none" w:sz="0" w:space="0" w:color="auto"/>
            <w:left w:val="none" w:sz="0" w:space="0" w:color="auto"/>
            <w:bottom w:val="none" w:sz="0" w:space="0" w:color="auto"/>
            <w:right w:val="none" w:sz="0" w:space="0" w:color="auto"/>
          </w:divBdr>
        </w:div>
      </w:divsChild>
    </w:div>
    <w:div w:id="716512264">
      <w:bodyDiv w:val="1"/>
      <w:marLeft w:val="0"/>
      <w:marRight w:val="0"/>
      <w:marTop w:val="0"/>
      <w:marBottom w:val="0"/>
      <w:divBdr>
        <w:top w:val="none" w:sz="0" w:space="0" w:color="auto"/>
        <w:left w:val="none" w:sz="0" w:space="0" w:color="auto"/>
        <w:bottom w:val="none" w:sz="0" w:space="0" w:color="auto"/>
        <w:right w:val="none" w:sz="0" w:space="0" w:color="auto"/>
      </w:divBdr>
      <w:divsChild>
        <w:div w:id="1752047956">
          <w:marLeft w:val="0"/>
          <w:marRight w:val="0"/>
          <w:marTop w:val="0"/>
          <w:marBottom w:val="0"/>
          <w:divBdr>
            <w:top w:val="none" w:sz="0" w:space="0" w:color="auto"/>
            <w:left w:val="none" w:sz="0" w:space="0" w:color="auto"/>
            <w:bottom w:val="none" w:sz="0" w:space="0" w:color="auto"/>
            <w:right w:val="none" w:sz="0" w:space="0" w:color="auto"/>
          </w:divBdr>
          <w:divsChild>
            <w:div w:id="715662271">
              <w:marLeft w:val="0"/>
              <w:marRight w:val="0"/>
              <w:marTop w:val="0"/>
              <w:marBottom w:val="0"/>
              <w:divBdr>
                <w:top w:val="none" w:sz="0" w:space="0" w:color="auto"/>
                <w:left w:val="none" w:sz="0" w:space="0" w:color="auto"/>
                <w:bottom w:val="none" w:sz="0" w:space="0" w:color="auto"/>
                <w:right w:val="none" w:sz="0" w:space="0" w:color="auto"/>
              </w:divBdr>
              <w:divsChild>
                <w:div w:id="1929342785">
                  <w:marLeft w:val="0"/>
                  <w:marRight w:val="0"/>
                  <w:marTop w:val="0"/>
                  <w:marBottom w:val="0"/>
                  <w:divBdr>
                    <w:top w:val="none" w:sz="0" w:space="0" w:color="auto"/>
                    <w:left w:val="none" w:sz="0" w:space="0" w:color="auto"/>
                    <w:bottom w:val="none" w:sz="0" w:space="0" w:color="auto"/>
                    <w:right w:val="none" w:sz="0" w:space="0" w:color="auto"/>
                  </w:divBdr>
                  <w:divsChild>
                    <w:div w:id="1923485213">
                      <w:marLeft w:val="0"/>
                      <w:marRight w:val="0"/>
                      <w:marTop w:val="0"/>
                      <w:marBottom w:val="0"/>
                      <w:divBdr>
                        <w:top w:val="none" w:sz="0" w:space="0" w:color="auto"/>
                        <w:left w:val="none" w:sz="0" w:space="0" w:color="auto"/>
                        <w:bottom w:val="none" w:sz="0" w:space="0" w:color="auto"/>
                        <w:right w:val="none" w:sz="0" w:space="0" w:color="auto"/>
                      </w:divBdr>
                      <w:divsChild>
                        <w:div w:id="373896796">
                          <w:marLeft w:val="0"/>
                          <w:marRight w:val="0"/>
                          <w:marTop w:val="0"/>
                          <w:marBottom w:val="0"/>
                          <w:divBdr>
                            <w:top w:val="none" w:sz="0" w:space="0" w:color="auto"/>
                            <w:left w:val="none" w:sz="0" w:space="0" w:color="auto"/>
                            <w:bottom w:val="none" w:sz="0" w:space="0" w:color="auto"/>
                            <w:right w:val="none" w:sz="0" w:space="0" w:color="auto"/>
                          </w:divBdr>
                          <w:divsChild>
                            <w:div w:id="10620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96762">
      <w:bodyDiv w:val="1"/>
      <w:marLeft w:val="0"/>
      <w:marRight w:val="0"/>
      <w:marTop w:val="0"/>
      <w:marBottom w:val="0"/>
      <w:divBdr>
        <w:top w:val="none" w:sz="0" w:space="0" w:color="auto"/>
        <w:left w:val="none" w:sz="0" w:space="0" w:color="auto"/>
        <w:bottom w:val="none" w:sz="0" w:space="0" w:color="auto"/>
        <w:right w:val="none" w:sz="0" w:space="0" w:color="auto"/>
      </w:divBdr>
      <w:divsChild>
        <w:div w:id="1325401186">
          <w:marLeft w:val="0"/>
          <w:marRight w:val="0"/>
          <w:marTop w:val="0"/>
          <w:marBottom w:val="0"/>
          <w:divBdr>
            <w:top w:val="none" w:sz="0" w:space="0" w:color="auto"/>
            <w:left w:val="none" w:sz="0" w:space="0" w:color="auto"/>
            <w:bottom w:val="none" w:sz="0" w:space="0" w:color="auto"/>
            <w:right w:val="none" w:sz="0" w:space="0" w:color="auto"/>
          </w:divBdr>
          <w:divsChild>
            <w:div w:id="388962758">
              <w:marLeft w:val="0"/>
              <w:marRight w:val="0"/>
              <w:marTop w:val="0"/>
              <w:marBottom w:val="0"/>
              <w:divBdr>
                <w:top w:val="none" w:sz="0" w:space="0" w:color="auto"/>
                <w:left w:val="none" w:sz="0" w:space="0" w:color="auto"/>
                <w:bottom w:val="none" w:sz="0" w:space="0" w:color="auto"/>
                <w:right w:val="none" w:sz="0" w:space="0" w:color="auto"/>
              </w:divBdr>
              <w:divsChild>
                <w:div w:id="194930559">
                  <w:marLeft w:val="0"/>
                  <w:marRight w:val="0"/>
                  <w:marTop w:val="0"/>
                  <w:marBottom w:val="0"/>
                  <w:divBdr>
                    <w:top w:val="none" w:sz="0" w:space="0" w:color="auto"/>
                    <w:left w:val="none" w:sz="0" w:space="0" w:color="auto"/>
                    <w:bottom w:val="none" w:sz="0" w:space="0" w:color="auto"/>
                    <w:right w:val="none" w:sz="0" w:space="0" w:color="auto"/>
                  </w:divBdr>
                  <w:divsChild>
                    <w:div w:id="1241211608">
                      <w:marLeft w:val="0"/>
                      <w:marRight w:val="0"/>
                      <w:marTop w:val="0"/>
                      <w:marBottom w:val="0"/>
                      <w:divBdr>
                        <w:top w:val="none" w:sz="0" w:space="0" w:color="auto"/>
                        <w:left w:val="none" w:sz="0" w:space="0" w:color="auto"/>
                        <w:bottom w:val="none" w:sz="0" w:space="0" w:color="auto"/>
                        <w:right w:val="none" w:sz="0" w:space="0" w:color="auto"/>
                      </w:divBdr>
                      <w:divsChild>
                        <w:div w:id="993755107">
                          <w:marLeft w:val="0"/>
                          <w:marRight w:val="0"/>
                          <w:marTop w:val="0"/>
                          <w:marBottom w:val="0"/>
                          <w:divBdr>
                            <w:top w:val="none" w:sz="0" w:space="0" w:color="auto"/>
                            <w:left w:val="none" w:sz="0" w:space="0" w:color="auto"/>
                            <w:bottom w:val="none" w:sz="0" w:space="0" w:color="auto"/>
                            <w:right w:val="none" w:sz="0" w:space="0" w:color="auto"/>
                          </w:divBdr>
                          <w:divsChild>
                            <w:div w:id="20522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32054">
      <w:bodyDiv w:val="1"/>
      <w:marLeft w:val="0"/>
      <w:marRight w:val="0"/>
      <w:marTop w:val="0"/>
      <w:marBottom w:val="0"/>
      <w:divBdr>
        <w:top w:val="none" w:sz="0" w:space="0" w:color="auto"/>
        <w:left w:val="none" w:sz="0" w:space="0" w:color="auto"/>
        <w:bottom w:val="none" w:sz="0" w:space="0" w:color="auto"/>
        <w:right w:val="none" w:sz="0" w:space="0" w:color="auto"/>
      </w:divBdr>
    </w:div>
    <w:div w:id="950284481">
      <w:bodyDiv w:val="1"/>
      <w:marLeft w:val="0"/>
      <w:marRight w:val="0"/>
      <w:marTop w:val="0"/>
      <w:marBottom w:val="0"/>
      <w:divBdr>
        <w:top w:val="none" w:sz="0" w:space="0" w:color="auto"/>
        <w:left w:val="none" w:sz="0" w:space="0" w:color="auto"/>
        <w:bottom w:val="none" w:sz="0" w:space="0" w:color="auto"/>
        <w:right w:val="none" w:sz="0" w:space="0" w:color="auto"/>
      </w:divBdr>
      <w:divsChild>
        <w:div w:id="44720276">
          <w:marLeft w:val="288"/>
          <w:marRight w:val="0"/>
          <w:marTop w:val="0"/>
          <w:marBottom w:val="108"/>
          <w:divBdr>
            <w:top w:val="none" w:sz="0" w:space="0" w:color="auto"/>
            <w:left w:val="none" w:sz="0" w:space="0" w:color="auto"/>
            <w:bottom w:val="none" w:sz="0" w:space="0" w:color="auto"/>
            <w:right w:val="none" w:sz="0" w:space="0" w:color="auto"/>
          </w:divBdr>
        </w:div>
        <w:div w:id="179661726">
          <w:marLeft w:val="288"/>
          <w:marRight w:val="0"/>
          <w:marTop w:val="0"/>
          <w:marBottom w:val="108"/>
          <w:divBdr>
            <w:top w:val="none" w:sz="0" w:space="0" w:color="auto"/>
            <w:left w:val="none" w:sz="0" w:space="0" w:color="auto"/>
            <w:bottom w:val="none" w:sz="0" w:space="0" w:color="auto"/>
            <w:right w:val="none" w:sz="0" w:space="0" w:color="auto"/>
          </w:divBdr>
        </w:div>
        <w:div w:id="776946379">
          <w:marLeft w:val="288"/>
          <w:marRight w:val="0"/>
          <w:marTop w:val="0"/>
          <w:marBottom w:val="108"/>
          <w:divBdr>
            <w:top w:val="none" w:sz="0" w:space="0" w:color="auto"/>
            <w:left w:val="none" w:sz="0" w:space="0" w:color="auto"/>
            <w:bottom w:val="none" w:sz="0" w:space="0" w:color="auto"/>
            <w:right w:val="none" w:sz="0" w:space="0" w:color="auto"/>
          </w:divBdr>
        </w:div>
      </w:divsChild>
    </w:div>
    <w:div w:id="2034990156">
      <w:bodyDiv w:val="1"/>
      <w:marLeft w:val="0"/>
      <w:marRight w:val="0"/>
      <w:marTop w:val="0"/>
      <w:marBottom w:val="0"/>
      <w:divBdr>
        <w:top w:val="none" w:sz="0" w:space="0" w:color="auto"/>
        <w:left w:val="none" w:sz="0" w:space="0" w:color="auto"/>
        <w:bottom w:val="none" w:sz="0" w:space="0" w:color="auto"/>
        <w:right w:val="none" w:sz="0" w:space="0" w:color="auto"/>
      </w:divBdr>
      <w:divsChild>
        <w:div w:id="1932811147">
          <w:marLeft w:val="-7680"/>
          <w:marRight w:val="0"/>
          <w:marTop w:val="0"/>
          <w:marBottom w:val="0"/>
          <w:divBdr>
            <w:top w:val="none" w:sz="0" w:space="0" w:color="auto"/>
            <w:left w:val="none" w:sz="0" w:space="0" w:color="auto"/>
            <w:bottom w:val="none" w:sz="0" w:space="0" w:color="auto"/>
            <w:right w:val="none" w:sz="0" w:space="0" w:color="auto"/>
          </w:divBdr>
          <w:divsChild>
            <w:div w:id="1151629820">
              <w:marLeft w:val="0"/>
              <w:marRight w:val="0"/>
              <w:marTop w:val="405"/>
              <w:marBottom w:val="0"/>
              <w:divBdr>
                <w:top w:val="none" w:sz="0" w:space="0" w:color="auto"/>
                <w:left w:val="none" w:sz="0" w:space="0" w:color="auto"/>
                <w:bottom w:val="none" w:sz="0" w:space="0" w:color="auto"/>
                <w:right w:val="none" w:sz="0" w:space="0" w:color="auto"/>
              </w:divBdr>
              <w:divsChild>
                <w:div w:id="1348562793">
                  <w:marLeft w:val="0"/>
                  <w:marRight w:val="0"/>
                  <w:marTop w:val="0"/>
                  <w:marBottom w:val="0"/>
                  <w:divBdr>
                    <w:top w:val="none" w:sz="0" w:space="0" w:color="auto"/>
                    <w:left w:val="none" w:sz="0" w:space="0" w:color="auto"/>
                    <w:bottom w:val="none" w:sz="0" w:space="0" w:color="auto"/>
                    <w:right w:val="none" w:sz="0" w:space="0" w:color="auto"/>
                  </w:divBdr>
                  <w:divsChild>
                    <w:div w:id="1247037180">
                      <w:marLeft w:val="0"/>
                      <w:marRight w:val="0"/>
                      <w:marTop w:val="0"/>
                      <w:marBottom w:val="0"/>
                      <w:divBdr>
                        <w:top w:val="none" w:sz="0" w:space="0" w:color="auto"/>
                        <w:left w:val="none" w:sz="0" w:space="0" w:color="auto"/>
                        <w:bottom w:val="none" w:sz="0" w:space="0" w:color="auto"/>
                        <w:right w:val="none" w:sz="0" w:space="0" w:color="auto"/>
                      </w:divBdr>
                      <w:divsChild>
                        <w:div w:id="112672477">
                          <w:marLeft w:val="0"/>
                          <w:marRight w:val="0"/>
                          <w:marTop w:val="0"/>
                          <w:marBottom w:val="0"/>
                          <w:divBdr>
                            <w:top w:val="none" w:sz="0" w:space="0" w:color="auto"/>
                            <w:left w:val="none" w:sz="0" w:space="0" w:color="auto"/>
                            <w:bottom w:val="none" w:sz="0" w:space="0" w:color="auto"/>
                            <w:right w:val="none" w:sz="0" w:space="0" w:color="auto"/>
                          </w:divBdr>
                          <w:divsChild>
                            <w:div w:id="2135757722">
                              <w:marLeft w:val="0"/>
                              <w:marRight w:val="150"/>
                              <w:marTop w:val="0"/>
                              <w:marBottom w:val="0"/>
                              <w:divBdr>
                                <w:top w:val="none" w:sz="0" w:space="0" w:color="auto"/>
                                <w:left w:val="none" w:sz="0" w:space="0" w:color="auto"/>
                                <w:bottom w:val="none" w:sz="0" w:space="0" w:color="auto"/>
                                <w:right w:val="none" w:sz="0" w:space="0" w:color="auto"/>
                              </w:divBdr>
                              <w:divsChild>
                                <w:div w:id="452556711">
                                  <w:marLeft w:val="-60"/>
                                  <w:marRight w:val="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E1EF34\4957_EYc%20News%20Release%20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4957_EYc News Release CZ.dot</Template>
  <TotalTime>0</TotalTime>
  <Pages>3</Pages>
  <Words>856</Words>
  <Characters>4699</Characters>
  <Application>Microsoft Office Word</Application>
  <DocSecurity>0</DocSecurity>
  <Lines>39</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 release</vt:lpstr>
      <vt:lpstr>News release</vt:lpstr>
    </vt:vector>
  </TitlesOfParts>
  <Company/>
  <LinksUpToDate>false</LinksUpToDate>
  <CharactersWithSpaces>5544</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cp:lastModifiedBy>Ernst &amp; Young</cp:lastModifiedBy>
  <cp:revision>2</cp:revision>
  <cp:lastPrinted>2010-12-22T10:26:00Z</cp:lastPrinted>
  <dcterms:created xsi:type="dcterms:W3CDTF">2011-01-19T16:32:00Z</dcterms:created>
  <dcterms:modified xsi:type="dcterms:W3CDTF">2011-01-19T16:32:00Z</dcterms:modified>
</cp:coreProperties>
</file>