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B" w:rsidRPr="007205B4" w:rsidRDefault="00D97C7B">
      <w:pPr>
        <w:pStyle w:val="EYBodytextsubhead1"/>
        <w:ind w:right="-85"/>
        <w:rPr>
          <w:rFonts w:ascii="Arial" w:hAnsi="Arial" w:cs="Arial"/>
          <w:b w:val="0"/>
          <w:sz w:val="36"/>
          <w:szCs w:val="36"/>
          <w:lang w:val="cs-CZ"/>
        </w:rPr>
      </w:pPr>
      <w:r w:rsidRPr="007205B4">
        <w:rPr>
          <w:rFonts w:ascii="Arial" w:hAnsi="Arial" w:cs="Arial"/>
          <w:b w:val="0"/>
          <w:sz w:val="36"/>
          <w:szCs w:val="36"/>
          <w:lang w:val="cs-CZ"/>
        </w:rPr>
        <w:t>Tisková zpráva</w:t>
      </w:r>
    </w:p>
    <w:p w:rsidR="00D97C7B" w:rsidRPr="007205B4"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205B4">
        <w:rPr>
          <w:rFonts w:ascii="Arial" w:hAnsi="Arial" w:cs="Arial"/>
          <w:b w:val="0"/>
          <w:sz w:val="20"/>
          <w:szCs w:val="20"/>
          <w:lang w:val="cs-CZ"/>
        </w:rPr>
        <w:tab/>
      </w:r>
      <w:r w:rsidRPr="007205B4">
        <w:rPr>
          <w:rFonts w:ascii="Arial" w:hAnsi="Arial" w:cs="Arial"/>
          <w:b w:val="0"/>
          <w:sz w:val="16"/>
          <w:szCs w:val="16"/>
          <w:lang w:val="cs-CZ"/>
        </w:rPr>
        <w:t>Alžběta Honsová</w:t>
      </w:r>
      <w:r w:rsidRPr="007205B4">
        <w:rPr>
          <w:rFonts w:ascii="Arial" w:hAnsi="Arial" w:cs="Arial"/>
          <w:b w:val="0"/>
          <w:sz w:val="16"/>
          <w:szCs w:val="16"/>
          <w:lang w:val="cs-CZ"/>
        </w:rPr>
        <w:tab/>
        <w:t>Monika Veselá</w:t>
      </w:r>
    </w:p>
    <w:p w:rsidR="00D97C7B" w:rsidRPr="007205B4"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205B4">
        <w:rPr>
          <w:rFonts w:ascii="Arial" w:hAnsi="Arial" w:cs="Arial"/>
          <w:b w:val="0"/>
          <w:sz w:val="16"/>
          <w:szCs w:val="16"/>
          <w:lang w:val="cs-CZ"/>
        </w:rPr>
        <w:tab/>
        <w:t>Ernst &amp; Young</w:t>
      </w:r>
      <w:r w:rsidRPr="007205B4">
        <w:rPr>
          <w:rFonts w:ascii="Arial" w:hAnsi="Arial" w:cs="Arial"/>
          <w:b w:val="0"/>
          <w:sz w:val="16"/>
          <w:szCs w:val="16"/>
          <w:lang w:val="cs-CZ"/>
        </w:rPr>
        <w:tab/>
        <w:t>Fleishman Hillard</w:t>
      </w:r>
    </w:p>
    <w:p w:rsidR="00D97C7B" w:rsidRPr="007205B4"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205B4">
        <w:rPr>
          <w:rFonts w:ascii="Arial" w:hAnsi="Arial" w:cs="Arial"/>
          <w:b w:val="0"/>
          <w:sz w:val="16"/>
          <w:szCs w:val="16"/>
          <w:lang w:val="cs-CZ"/>
        </w:rPr>
        <w:tab/>
        <w:t>Tel.: +420 225 335 669</w:t>
      </w:r>
      <w:r w:rsidRPr="007205B4">
        <w:rPr>
          <w:rFonts w:ascii="Arial" w:hAnsi="Arial" w:cs="Arial"/>
          <w:b w:val="0"/>
          <w:sz w:val="16"/>
          <w:szCs w:val="16"/>
          <w:lang w:val="cs-CZ"/>
        </w:rPr>
        <w:tab/>
        <w:t>Tel.: +420 234 669 504</w:t>
      </w:r>
    </w:p>
    <w:p w:rsidR="00D97C7B" w:rsidRPr="007205B4"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205B4">
        <w:rPr>
          <w:rFonts w:ascii="Arial" w:hAnsi="Arial" w:cs="Arial"/>
          <w:b w:val="0"/>
          <w:sz w:val="16"/>
          <w:szCs w:val="16"/>
          <w:lang w:val="cs-CZ"/>
        </w:rPr>
        <w:tab/>
        <w:t>Mobile: +420 603  577 939</w:t>
      </w:r>
      <w:r w:rsidRPr="007205B4">
        <w:rPr>
          <w:rFonts w:ascii="Arial" w:hAnsi="Arial" w:cs="Arial"/>
          <w:b w:val="0"/>
          <w:sz w:val="16"/>
          <w:szCs w:val="16"/>
          <w:lang w:val="cs-CZ"/>
        </w:rPr>
        <w:tab/>
        <w:t>Mobile: +420 604 333 320</w:t>
      </w:r>
    </w:p>
    <w:p w:rsidR="00D97C7B" w:rsidRPr="007205B4"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205B4">
        <w:rPr>
          <w:rFonts w:ascii="Arial" w:hAnsi="Arial" w:cs="Arial"/>
          <w:b w:val="0"/>
          <w:sz w:val="16"/>
          <w:szCs w:val="16"/>
          <w:lang w:val="cs-CZ"/>
        </w:rPr>
        <w:tab/>
        <w:t>E-mail: alzbeta.honsova@cz.ey.com</w:t>
      </w:r>
      <w:r w:rsidRPr="007205B4">
        <w:rPr>
          <w:rFonts w:ascii="Arial" w:hAnsi="Arial" w:cs="Arial"/>
          <w:b w:val="0"/>
          <w:sz w:val="16"/>
          <w:szCs w:val="16"/>
          <w:lang w:val="cs-CZ"/>
        </w:rPr>
        <w:tab/>
        <w:t>E-mail: monika.vesela@fleishman.com</w:t>
      </w:r>
    </w:p>
    <w:p w:rsidR="00D97C7B" w:rsidRPr="007205B4"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cs-CZ"/>
        </w:rPr>
      </w:pPr>
    </w:p>
    <w:p w:rsidR="00C90183" w:rsidRPr="00465D92" w:rsidRDefault="00AB08FE" w:rsidP="00465D92">
      <w:pPr>
        <w:pStyle w:val="Heading2"/>
        <w:rPr>
          <w:rFonts w:ascii="Arial" w:hAnsi="Arial" w:cs="Arial"/>
          <w:bCs w:val="0"/>
          <w:color w:val="auto"/>
          <w:kern w:val="12"/>
          <w:sz w:val="26"/>
          <w:szCs w:val="26"/>
          <w:lang w:eastAsia="en-US"/>
        </w:rPr>
      </w:pPr>
      <w:r>
        <w:rPr>
          <w:rFonts w:ascii="Arial" w:hAnsi="Arial" w:cs="Arial"/>
          <w:bCs w:val="0"/>
          <w:color w:val="auto"/>
          <w:kern w:val="12"/>
          <w:sz w:val="26"/>
          <w:szCs w:val="26"/>
          <w:lang w:eastAsia="en-US"/>
        </w:rPr>
        <w:t>V roce 2011 budou h</w:t>
      </w:r>
      <w:r w:rsidR="00C90183" w:rsidRPr="00465D92">
        <w:rPr>
          <w:rFonts w:ascii="Arial" w:hAnsi="Arial" w:cs="Arial"/>
          <w:bCs w:val="0"/>
          <w:color w:val="auto"/>
          <w:kern w:val="12"/>
          <w:sz w:val="26"/>
          <w:szCs w:val="26"/>
          <w:lang w:eastAsia="en-US"/>
        </w:rPr>
        <w:t xml:space="preserve">lavním motorem </w:t>
      </w:r>
      <w:r w:rsidR="00B60518">
        <w:rPr>
          <w:rFonts w:ascii="Arial" w:hAnsi="Arial" w:cs="Arial"/>
          <w:bCs w:val="0"/>
          <w:color w:val="auto"/>
          <w:kern w:val="12"/>
          <w:sz w:val="26"/>
          <w:szCs w:val="26"/>
          <w:lang w:eastAsia="en-US"/>
        </w:rPr>
        <w:t>primárních emisí privatizace</w:t>
      </w:r>
    </w:p>
    <w:p w:rsidR="0059177E" w:rsidRDefault="007231DA" w:rsidP="0059177E">
      <w:pPr>
        <w:pStyle w:val="EYBodytextwithparaspace"/>
        <w:spacing w:before="120" w:after="0"/>
        <w:ind w:left="45"/>
        <w:rPr>
          <w:rFonts w:cs="Arial"/>
          <w:b/>
          <w:szCs w:val="22"/>
          <w:lang w:val="cs-CZ"/>
        </w:rPr>
      </w:pPr>
      <w:r w:rsidRPr="00704B38">
        <w:rPr>
          <w:i/>
          <w:szCs w:val="22"/>
          <w:lang w:val="cs-CZ"/>
        </w:rPr>
        <w:t xml:space="preserve">Praha, </w:t>
      </w:r>
      <w:r>
        <w:rPr>
          <w:rFonts w:cs="Arial"/>
          <w:i/>
          <w:szCs w:val="22"/>
          <w:lang w:val="cs-CZ"/>
        </w:rPr>
        <w:t>24</w:t>
      </w:r>
      <w:r w:rsidRPr="00704B38">
        <w:rPr>
          <w:rFonts w:cs="Arial"/>
          <w:i/>
          <w:szCs w:val="22"/>
          <w:lang w:val="cs-CZ"/>
        </w:rPr>
        <w:t xml:space="preserve">. března 2011 </w:t>
      </w:r>
      <w:r w:rsidRPr="00704B38">
        <w:rPr>
          <w:i/>
          <w:szCs w:val="22"/>
          <w:lang w:val="cs-CZ"/>
        </w:rPr>
        <w:t>–</w:t>
      </w:r>
      <w:r w:rsidRPr="00704B38">
        <w:rPr>
          <w:szCs w:val="22"/>
          <w:lang w:val="cs-CZ"/>
        </w:rPr>
        <w:t xml:space="preserve"> </w:t>
      </w:r>
      <w:r w:rsidR="00C90183" w:rsidRPr="0002225A">
        <w:rPr>
          <w:b/>
          <w:lang w:val="cs-CZ"/>
        </w:rPr>
        <w:t xml:space="preserve">Primární emise akcií (IPO) mají za sebou nebývale úspěšný start do nového roku. Během prvních dvou měsíců se po celém světě uskutečnilo </w:t>
      </w:r>
      <w:r w:rsidR="00C90183" w:rsidRPr="0002225A">
        <w:rPr>
          <w:rFonts w:cs="Arial"/>
          <w:b/>
          <w:lang w:val="cs-CZ"/>
        </w:rPr>
        <w:t>193 IPO v celkové hodnotě 25,3 miliard amerických dolarů. Díky zájmu investorů, kteří se snaží využít slibného hospodářského růstu v rozvíjejících se ekonomikách, oživují kapitálové trhy a</w:t>
      </w:r>
      <w:r w:rsidR="00C90183" w:rsidRPr="0002225A">
        <w:rPr>
          <w:rFonts w:cs="Arial"/>
          <w:b/>
          <w:szCs w:val="22"/>
          <w:lang w:val="cs-CZ"/>
        </w:rPr>
        <w:t xml:space="preserve"> na burzách celého světa jsou umisťovány nové emise. </w:t>
      </w:r>
      <w:r w:rsidR="0059177E" w:rsidRPr="0002225A">
        <w:rPr>
          <w:rFonts w:cs="Arial"/>
          <w:b/>
          <w:szCs w:val="22"/>
          <w:lang w:val="cs-CZ"/>
        </w:rPr>
        <w:t>Vyplývá to z průzkumu společnosti Ernst &amp; Young „</w:t>
      </w:r>
      <w:r w:rsidR="0059177E" w:rsidRPr="0002225A">
        <w:rPr>
          <w:rFonts w:cs="Arial"/>
          <w:b/>
          <w:i/>
          <w:szCs w:val="22"/>
          <w:lang w:val="cs-CZ"/>
        </w:rPr>
        <w:t>Global IPO trends report 2011“</w:t>
      </w:r>
      <w:r w:rsidR="0059177E" w:rsidRPr="0002225A">
        <w:rPr>
          <w:rFonts w:cs="Arial"/>
          <w:b/>
          <w:szCs w:val="22"/>
          <w:lang w:val="cs-CZ"/>
        </w:rPr>
        <w:t xml:space="preserve">, který se zaměřil na perspektivy kapitálových trhů v oblasti primárních emisí pro letošní rok a analyzuje </w:t>
      </w:r>
      <w:r w:rsidR="0021383A" w:rsidRPr="0002225A">
        <w:rPr>
          <w:rFonts w:cs="Arial"/>
          <w:b/>
          <w:szCs w:val="22"/>
          <w:lang w:val="cs-CZ"/>
        </w:rPr>
        <w:t xml:space="preserve">také </w:t>
      </w:r>
      <w:r w:rsidR="0059177E" w:rsidRPr="0002225A">
        <w:rPr>
          <w:rFonts w:cs="Arial"/>
          <w:b/>
          <w:szCs w:val="22"/>
          <w:lang w:val="cs-CZ"/>
        </w:rPr>
        <w:t xml:space="preserve">hlavní trendy roku 2010. </w:t>
      </w:r>
    </w:p>
    <w:p w:rsidR="00C90183" w:rsidRDefault="00C90183" w:rsidP="007231DA">
      <w:pPr>
        <w:pStyle w:val="EYBodytextwithparaspace"/>
        <w:spacing w:before="120" w:after="0"/>
        <w:ind w:left="45"/>
        <w:rPr>
          <w:rFonts w:cs="Arial"/>
          <w:b/>
          <w:szCs w:val="22"/>
          <w:lang w:val="cs-CZ"/>
        </w:rPr>
      </w:pPr>
      <w:r w:rsidRPr="00040AED">
        <w:rPr>
          <w:rFonts w:cs="Arial"/>
          <w:szCs w:val="22"/>
          <w:lang w:val="cs-CZ"/>
        </w:rPr>
        <w:t xml:space="preserve">Na </w:t>
      </w:r>
      <w:r w:rsidR="00E0593C">
        <w:rPr>
          <w:rFonts w:cs="Arial"/>
          <w:szCs w:val="22"/>
          <w:lang w:val="cs-CZ"/>
        </w:rPr>
        <w:t xml:space="preserve">rostoucí počet emisí má pozitivní </w:t>
      </w:r>
      <w:r w:rsidRPr="00040AED">
        <w:rPr>
          <w:rFonts w:cs="Arial"/>
          <w:szCs w:val="22"/>
          <w:lang w:val="cs-CZ"/>
        </w:rPr>
        <w:t xml:space="preserve">vliv celá řada faktorů, </w:t>
      </w:r>
      <w:r w:rsidRPr="00040AED">
        <w:rPr>
          <w:rFonts w:cs="Arial"/>
          <w:lang w:val="cs-CZ"/>
        </w:rPr>
        <w:t xml:space="preserve">mimo jiné četné privatizace státních podniků či </w:t>
      </w:r>
      <w:r w:rsidR="005D6E64">
        <w:rPr>
          <w:rFonts w:cs="Arial"/>
          <w:lang w:val="cs-CZ"/>
        </w:rPr>
        <w:t xml:space="preserve">odštěpení </w:t>
      </w:r>
      <w:r w:rsidRPr="00040AED">
        <w:rPr>
          <w:rFonts w:cs="Arial"/>
          <w:lang w:val="cs-CZ"/>
        </w:rPr>
        <w:t>samostatných subjektů z nadnárodních korporací</w:t>
      </w:r>
      <w:r w:rsidRPr="00040AED">
        <w:rPr>
          <w:rFonts w:cs="Arial"/>
          <w:szCs w:val="22"/>
          <w:lang w:val="cs-CZ"/>
        </w:rPr>
        <w:t>. Největší</w:t>
      </w:r>
      <w:r w:rsidR="007B29B6">
        <w:rPr>
          <w:rFonts w:cs="Arial"/>
          <w:szCs w:val="22"/>
          <w:lang w:val="cs-CZ"/>
        </w:rPr>
        <w:t xml:space="preserve"> aktivitu v oblasti IPO vykazuje oblast</w:t>
      </w:r>
      <w:r w:rsidRPr="00040AED">
        <w:rPr>
          <w:rFonts w:cs="Arial"/>
          <w:szCs w:val="22"/>
          <w:lang w:val="cs-CZ"/>
        </w:rPr>
        <w:t xml:space="preserve"> přírodní</w:t>
      </w:r>
      <w:r w:rsidR="007B29B6">
        <w:rPr>
          <w:rFonts w:cs="Arial"/>
          <w:szCs w:val="22"/>
          <w:lang w:val="cs-CZ"/>
        </w:rPr>
        <w:t>ch zdrojů</w:t>
      </w:r>
      <w:r w:rsidRPr="00040AED">
        <w:rPr>
          <w:rFonts w:cs="Arial"/>
          <w:szCs w:val="22"/>
          <w:lang w:val="cs-CZ"/>
        </w:rPr>
        <w:t xml:space="preserve">, včetně ropného a plynárenského průmyslu, ale také průmyslová výroba, výstavba infrastruktury nebo technologie. </w:t>
      </w:r>
    </w:p>
    <w:p w:rsidR="00040AED" w:rsidRPr="00040AED" w:rsidRDefault="00040AED" w:rsidP="00040AED">
      <w:pPr>
        <w:pStyle w:val="EYBodytextwithparaspace"/>
        <w:spacing w:after="0" w:line="240" w:lineRule="auto"/>
        <w:ind w:left="45"/>
        <w:rPr>
          <w:rFonts w:cs="Arial"/>
          <w:b/>
          <w:szCs w:val="22"/>
          <w:lang w:val="cs-CZ"/>
        </w:rPr>
      </w:pPr>
    </w:p>
    <w:p w:rsidR="00C90183" w:rsidRPr="007231DA" w:rsidRDefault="00C90183" w:rsidP="00C90183">
      <w:pPr>
        <w:spacing w:after="240" w:line="360" w:lineRule="auto"/>
        <w:rPr>
          <w:rFonts w:ascii="Arial" w:hAnsi="Arial" w:cs="Arial"/>
          <w:i/>
          <w:kern w:val="12"/>
          <w:sz w:val="22"/>
          <w:szCs w:val="22"/>
        </w:rPr>
      </w:pPr>
      <w:r w:rsidRPr="007231DA">
        <w:rPr>
          <w:rFonts w:ascii="Arial" w:hAnsi="Arial" w:cs="Arial"/>
          <w:i/>
          <w:kern w:val="12"/>
          <w:sz w:val="22"/>
          <w:szCs w:val="22"/>
        </w:rPr>
        <w:t xml:space="preserve">„Současná situace je důsledkem toho, že řada primárních emisí byla kvůli finanční krizi odložena </w:t>
      </w:r>
      <w:r w:rsidR="00641F1F">
        <w:rPr>
          <w:rFonts w:ascii="Arial" w:hAnsi="Arial" w:cs="Arial"/>
          <w:i/>
          <w:kern w:val="12"/>
          <w:sz w:val="22"/>
          <w:szCs w:val="22"/>
        </w:rPr>
        <w:br/>
      </w:r>
      <w:r w:rsidRPr="007231DA">
        <w:rPr>
          <w:rFonts w:ascii="Arial" w:hAnsi="Arial" w:cs="Arial"/>
          <w:i/>
          <w:kern w:val="12"/>
          <w:sz w:val="22"/>
          <w:szCs w:val="22"/>
        </w:rPr>
        <w:t xml:space="preserve">a bylo možné je realizovat až nyní. Svou roli hraje i fakt, že např. soukromé fondy stále nemají mnoho jiných alternativ </w:t>
      </w:r>
      <w:r w:rsidR="008A4181">
        <w:rPr>
          <w:rFonts w:ascii="Arial" w:hAnsi="Arial" w:cs="Arial"/>
          <w:i/>
          <w:kern w:val="12"/>
          <w:sz w:val="22"/>
          <w:szCs w:val="22"/>
        </w:rPr>
        <w:t>jak naložit s</w:t>
      </w:r>
      <w:r w:rsidR="0021383A">
        <w:rPr>
          <w:rFonts w:ascii="Arial" w:hAnsi="Arial" w:cs="Arial"/>
          <w:i/>
          <w:kern w:val="12"/>
          <w:sz w:val="22"/>
          <w:szCs w:val="22"/>
        </w:rPr>
        <w:t xml:space="preserve"> investicemi </w:t>
      </w:r>
      <w:r w:rsidRPr="007231DA">
        <w:rPr>
          <w:rFonts w:ascii="Arial" w:hAnsi="Arial" w:cs="Arial"/>
          <w:i/>
          <w:kern w:val="12"/>
          <w:sz w:val="22"/>
          <w:szCs w:val="22"/>
        </w:rPr>
        <w:t xml:space="preserve">a podnikům zase chybí jiné příležitosti jak získat kapitál,“ </w:t>
      </w:r>
      <w:r w:rsidRPr="007231DA">
        <w:rPr>
          <w:rFonts w:ascii="Arial" w:hAnsi="Arial" w:cs="Arial"/>
          <w:kern w:val="12"/>
          <w:sz w:val="22"/>
          <w:szCs w:val="22"/>
        </w:rPr>
        <w:t xml:space="preserve">říká Peter Wells, partner oddělení transakčního poradenství společnosti Ernst &amp; Young v České republice. </w:t>
      </w:r>
      <w:r w:rsidRPr="007231DA">
        <w:rPr>
          <w:rFonts w:ascii="Arial" w:hAnsi="Arial" w:cs="Arial"/>
          <w:i/>
          <w:kern w:val="12"/>
          <w:sz w:val="22"/>
          <w:szCs w:val="22"/>
        </w:rPr>
        <w:t>„</w:t>
      </w:r>
      <w:r w:rsidR="0072003D">
        <w:rPr>
          <w:rFonts w:ascii="Arial" w:hAnsi="Arial" w:cs="Arial"/>
          <w:i/>
          <w:kern w:val="12"/>
          <w:sz w:val="22"/>
          <w:szCs w:val="22"/>
        </w:rPr>
        <w:t xml:space="preserve">Očekává se, že </w:t>
      </w:r>
      <w:r w:rsidR="008C3208">
        <w:rPr>
          <w:rFonts w:ascii="Arial" w:hAnsi="Arial" w:cs="Arial"/>
          <w:i/>
          <w:kern w:val="12"/>
          <w:sz w:val="22"/>
          <w:szCs w:val="22"/>
        </w:rPr>
        <w:t>naroste počet sekundárních prodejů</w:t>
      </w:r>
      <w:r w:rsidRPr="007231DA">
        <w:rPr>
          <w:rFonts w:ascii="Arial" w:hAnsi="Arial" w:cs="Arial"/>
          <w:i/>
          <w:kern w:val="12"/>
          <w:sz w:val="22"/>
          <w:szCs w:val="22"/>
        </w:rPr>
        <w:t xml:space="preserve">, protože společnosti navyšují </w:t>
      </w:r>
      <w:r w:rsidR="008C3208">
        <w:rPr>
          <w:rFonts w:ascii="Arial" w:hAnsi="Arial" w:cs="Arial"/>
          <w:i/>
          <w:kern w:val="12"/>
          <w:sz w:val="22"/>
          <w:szCs w:val="22"/>
        </w:rPr>
        <w:t xml:space="preserve">své </w:t>
      </w:r>
      <w:r w:rsidRPr="008C3208">
        <w:rPr>
          <w:rFonts w:ascii="Arial" w:hAnsi="Arial" w:cs="Arial"/>
          <w:i/>
          <w:kern w:val="12"/>
          <w:sz w:val="22"/>
          <w:szCs w:val="22"/>
        </w:rPr>
        <w:t xml:space="preserve">zdroje na rekordní úroveň, především kvůli financování </w:t>
      </w:r>
      <w:r w:rsidR="008C3208" w:rsidRPr="008C3208">
        <w:rPr>
          <w:rFonts w:ascii="Arial" w:hAnsi="Arial" w:cs="Arial"/>
          <w:i/>
          <w:kern w:val="12"/>
          <w:sz w:val="22"/>
          <w:szCs w:val="22"/>
        </w:rPr>
        <w:t xml:space="preserve">budoucích </w:t>
      </w:r>
      <w:r w:rsidRPr="008C3208">
        <w:rPr>
          <w:rFonts w:ascii="Arial" w:hAnsi="Arial" w:cs="Arial"/>
          <w:i/>
          <w:kern w:val="12"/>
          <w:sz w:val="22"/>
          <w:szCs w:val="22"/>
        </w:rPr>
        <w:t>akvizic.“</w:t>
      </w:r>
    </w:p>
    <w:p w:rsidR="00C90183" w:rsidRPr="007231DA" w:rsidRDefault="00C90183" w:rsidP="00C90183">
      <w:pPr>
        <w:autoSpaceDE w:val="0"/>
        <w:autoSpaceDN w:val="0"/>
        <w:adjustRightInd w:val="0"/>
        <w:spacing w:line="360" w:lineRule="auto"/>
        <w:rPr>
          <w:rFonts w:ascii="Arial" w:hAnsi="Arial" w:cs="Arial"/>
          <w:sz w:val="22"/>
          <w:szCs w:val="22"/>
          <w:lang w:eastAsia="en-GB"/>
        </w:rPr>
      </w:pPr>
      <w:r w:rsidRPr="007231DA">
        <w:rPr>
          <w:rFonts w:ascii="Arial" w:hAnsi="Arial" w:cs="Arial"/>
          <w:i/>
          <w:kern w:val="12"/>
          <w:sz w:val="22"/>
          <w:szCs w:val="22"/>
        </w:rPr>
        <w:t>„Vzhledem k tomu, že posiluje důvěra investorů v ceny, za které se akcie obchodují na kapitálových trzích, a roste jejich ochota riskovat, můžeme očekávat, že primární emise se rozšíří i do dalších odvětví ekonomiky a do dalších regionů. Nepůjde tedy jen o země BRIC, ale i o další rozvíjející se trhy, jako je jihovýchodní Asie, výc</w:t>
      </w:r>
      <w:r w:rsidR="00A7166B">
        <w:rPr>
          <w:rFonts w:ascii="Arial" w:hAnsi="Arial" w:cs="Arial"/>
          <w:i/>
          <w:kern w:val="12"/>
          <w:sz w:val="22"/>
          <w:szCs w:val="22"/>
        </w:rPr>
        <w:t>hodní Evropa a Latinská Amerika. I v České republice očekáváme v relativně brzk</w:t>
      </w:r>
      <w:r w:rsidR="00385EDF">
        <w:rPr>
          <w:rFonts w:ascii="Arial" w:hAnsi="Arial" w:cs="Arial"/>
          <w:i/>
          <w:kern w:val="12"/>
          <w:sz w:val="22"/>
          <w:szCs w:val="22"/>
        </w:rPr>
        <w:t>é době několik primárních emisí,</w:t>
      </w:r>
      <w:r w:rsidRPr="007231DA">
        <w:rPr>
          <w:rFonts w:ascii="Arial" w:hAnsi="Arial" w:cs="Arial"/>
          <w:i/>
          <w:kern w:val="12"/>
          <w:sz w:val="22"/>
          <w:szCs w:val="22"/>
        </w:rPr>
        <w:t xml:space="preserve">“ </w:t>
      </w:r>
      <w:r w:rsidRPr="007231DA">
        <w:rPr>
          <w:rFonts w:ascii="Arial" w:hAnsi="Arial" w:cs="Arial"/>
          <w:kern w:val="12"/>
          <w:sz w:val="22"/>
          <w:szCs w:val="22"/>
        </w:rPr>
        <w:t xml:space="preserve">dodává </w:t>
      </w:r>
      <w:r w:rsidRPr="007231DA">
        <w:rPr>
          <w:rFonts w:ascii="Arial" w:hAnsi="Arial" w:cs="Arial"/>
          <w:sz w:val="22"/>
          <w:szCs w:val="22"/>
        </w:rPr>
        <w:t>Petr Kříž, výkonný ředitel oddělení transakčního poradenství Ernst &amp; Young v České republice.</w:t>
      </w:r>
    </w:p>
    <w:p w:rsidR="00C90183" w:rsidRPr="007231DA" w:rsidRDefault="00C90183" w:rsidP="00C90183">
      <w:pPr>
        <w:pStyle w:val="EYBodytextwithparaspace"/>
        <w:spacing w:before="120" w:after="120"/>
        <w:rPr>
          <w:rFonts w:cs="Arial"/>
          <w:b/>
          <w:szCs w:val="22"/>
          <w:lang w:val="cs-CZ"/>
        </w:rPr>
      </w:pPr>
      <w:r w:rsidRPr="007231DA">
        <w:rPr>
          <w:rFonts w:cs="Arial"/>
          <w:b/>
          <w:szCs w:val="22"/>
          <w:lang w:val="cs-CZ"/>
        </w:rPr>
        <w:t xml:space="preserve">Výhled evropských trhů pro letošní rok </w:t>
      </w:r>
    </w:p>
    <w:p w:rsidR="00C90183" w:rsidRPr="007231DA" w:rsidRDefault="00C90183" w:rsidP="00C90183">
      <w:pPr>
        <w:pStyle w:val="EYBodytextwithparaspace"/>
        <w:spacing w:before="120" w:after="120"/>
        <w:rPr>
          <w:rFonts w:cs="Arial"/>
          <w:szCs w:val="22"/>
          <w:lang w:val="cs-CZ"/>
        </w:rPr>
      </w:pPr>
      <w:r w:rsidRPr="007231DA">
        <w:rPr>
          <w:rFonts w:cs="Arial"/>
          <w:szCs w:val="22"/>
          <w:lang w:val="cs-CZ"/>
        </w:rPr>
        <w:t xml:space="preserve">V prvních dvou měsících letošního roku proběhlo na evropských burzách 26 IPO v celkové hodnotě 1,8 miliardy amerických dolarů. </w:t>
      </w:r>
      <w:r w:rsidR="007B29B6">
        <w:rPr>
          <w:rFonts w:cs="Arial"/>
          <w:szCs w:val="22"/>
          <w:lang w:val="cs-CZ"/>
        </w:rPr>
        <w:t xml:space="preserve">V roce 2010 </w:t>
      </w:r>
      <w:r w:rsidR="00890251">
        <w:rPr>
          <w:rFonts w:cs="Arial"/>
          <w:szCs w:val="22"/>
          <w:lang w:val="cs-CZ"/>
        </w:rPr>
        <w:t xml:space="preserve">vedly žebříček </w:t>
      </w:r>
      <w:r w:rsidR="007B29B6">
        <w:rPr>
          <w:rFonts w:cs="Arial"/>
          <w:szCs w:val="22"/>
          <w:lang w:val="cs-CZ"/>
        </w:rPr>
        <w:t>nejúspěšnější</w:t>
      </w:r>
      <w:r w:rsidR="00890251">
        <w:rPr>
          <w:rFonts w:cs="Arial"/>
          <w:szCs w:val="22"/>
          <w:lang w:val="cs-CZ"/>
        </w:rPr>
        <w:t xml:space="preserve">ch </w:t>
      </w:r>
      <w:r w:rsidR="007B29B6">
        <w:rPr>
          <w:rFonts w:cs="Arial"/>
          <w:szCs w:val="22"/>
          <w:lang w:val="cs-CZ"/>
        </w:rPr>
        <w:t>evropsk</w:t>
      </w:r>
      <w:r w:rsidR="00890251">
        <w:rPr>
          <w:rFonts w:cs="Arial"/>
          <w:szCs w:val="22"/>
          <w:lang w:val="cs-CZ"/>
        </w:rPr>
        <w:t>ých</w:t>
      </w:r>
      <w:r w:rsidR="007B29B6">
        <w:rPr>
          <w:rFonts w:cs="Arial"/>
          <w:szCs w:val="22"/>
          <w:lang w:val="cs-CZ"/>
        </w:rPr>
        <w:t xml:space="preserve"> </w:t>
      </w:r>
      <w:r w:rsidR="00890251">
        <w:rPr>
          <w:rFonts w:cs="Arial"/>
          <w:szCs w:val="22"/>
          <w:lang w:val="cs-CZ"/>
        </w:rPr>
        <w:t>IPO trhů Velká Británie a Polsko</w:t>
      </w:r>
      <w:r w:rsidR="007B29B6">
        <w:rPr>
          <w:rFonts w:cs="Arial"/>
          <w:szCs w:val="22"/>
          <w:lang w:val="cs-CZ"/>
        </w:rPr>
        <w:t xml:space="preserve">. </w:t>
      </w:r>
      <w:r w:rsidRPr="007231DA">
        <w:rPr>
          <w:rFonts w:cs="Arial"/>
          <w:szCs w:val="22"/>
          <w:lang w:val="cs-CZ"/>
        </w:rPr>
        <w:t xml:space="preserve">Evropští investoři mají o akcie zájem, protože jsou většinou přesvědčeni, </w:t>
      </w:r>
      <w:r w:rsidRPr="00D80398">
        <w:rPr>
          <w:rFonts w:cs="Arial"/>
          <w:szCs w:val="22"/>
          <w:lang w:val="cs-CZ"/>
        </w:rPr>
        <w:lastRenderedPageBreak/>
        <w:t>že jejich kurz už odpovídajícím způsobem zohledňuje stávající makroekonomická rizika</w:t>
      </w:r>
      <w:r w:rsidR="00D80398">
        <w:rPr>
          <w:rFonts w:cs="Arial"/>
          <w:szCs w:val="22"/>
          <w:lang w:val="cs-CZ"/>
        </w:rPr>
        <w:t>.</w:t>
      </w:r>
      <w:r w:rsidRPr="007231DA">
        <w:rPr>
          <w:rFonts w:cs="Arial"/>
          <w:szCs w:val="22"/>
          <w:lang w:val="cs-CZ"/>
        </w:rPr>
        <w:t xml:space="preserve"> Potenciálních kandidátů na primární emisi je v Evropě celá řada, mezi nimi mimo jiné velké východoevropské státní podniky, které se kvůli snížení schodku státního rozpočtu chystá privatizovat polská, česká nebo ruská vláda.  </w:t>
      </w:r>
    </w:p>
    <w:p w:rsidR="00C90183" w:rsidRPr="007231DA" w:rsidRDefault="00C90183" w:rsidP="00C90183">
      <w:pPr>
        <w:pStyle w:val="EYBodytextwithparaspace"/>
        <w:spacing w:before="120" w:after="120"/>
        <w:rPr>
          <w:rFonts w:cs="Arial"/>
          <w:szCs w:val="22"/>
          <w:lang w:val="cs-CZ"/>
        </w:rPr>
      </w:pPr>
      <w:r w:rsidRPr="007231DA">
        <w:rPr>
          <w:rFonts w:cs="Arial"/>
          <w:szCs w:val="22"/>
          <w:lang w:val="cs-CZ"/>
        </w:rPr>
        <w:t xml:space="preserve">K největším primárním emisím, které se připravují ve Velké Británii, budou patřit </w:t>
      </w:r>
      <w:r w:rsidR="005D6E64">
        <w:rPr>
          <w:rFonts w:cs="Arial"/>
          <w:szCs w:val="22"/>
          <w:lang w:val="cs-CZ"/>
        </w:rPr>
        <w:t>odštěpení</w:t>
      </w:r>
      <w:r w:rsidRPr="007231DA">
        <w:rPr>
          <w:rFonts w:cs="Arial"/>
          <w:szCs w:val="22"/>
          <w:lang w:val="cs-CZ"/>
        </w:rPr>
        <w:t xml:space="preserve"> domácích i zahraničních bank. Na hlavním trhu londýnské burzy budou vydány rovněž akcie některých společností z rozvíjejících se ekonomik, před</w:t>
      </w:r>
      <w:r w:rsidR="00131324">
        <w:rPr>
          <w:rFonts w:cs="Arial"/>
          <w:szCs w:val="22"/>
          <w:lang w:val="cs-CZ"/>
        </w:rPr>
        <w:t xml:space="preserve">evším z energetického sektoru. </w:t>
      </w:r>
      <w:r w:rsidRPr="007231DA">
        <w:rPr>
          <w:rFonts w:cs="Arial"/>
          <w:szCs w:val="22"/>
          <w:lang w:val="cs-CZ"/>
        </w:rPr>
        <w:t>Oživení se očekává i na německých kapitálových trzích. Na Deutsche Borse, konkrétně v segmentu „Entry Standard“, tj. v segmentu regulovaného neoficiální trhu, kde platí nižší regulatorní nároky, by mělo být umístěno asi 20 malých emisí společností z různých odvětví.</w:t>
      </w:r>
    </w:p>
    <w:p w:rsidR="00C90183" w:rsidRPr="007231DA" w:rsidRDefault="00040AED" w:rsidP="00C90183">
      <w:pPr>
        <w:pStyle w:val="EYBodytextwithparaspace"/>
        <w:spacing w:before="120" w:after="120"/>
        <w:rPr>
          <w:rFonts w:cs="Arial"/>
          <w:i/>
          <w:szCs w:val="22"/>
          <w:lang w:val="cs-CZ"/>
        </w:rPr>
      </w:pPr>
      <w:r w:rsidRPr="007231DA">
        <w:rPr>
          <w:rFonts w:cs="Arial"/>
          <w:i/>
          <w:szCs w:val="22"/>
          <w:lang w:val="cs-CZ"/>
        </w:rPr>
        <w:t xml:space="preserve"> </w:t>
      </w:r>
      <w:r w:rsidR="00C90183" w:rsidRPr="007231DA">
        <w:rPr>
          <w:rFonts w:cs="Arial"/>
          <w:i/>
          <w:szCs w:val="22"/>
          <w:lang w:val="cs-CZ"/>
        </w:rPr>
        <w:t>„I když začátek letošního roku byl opravdu rekordní, nelze automaticky předpokládat, že primární emise porostou stejným tempem i v dalších měsících. Globální makroekonomická rizika by mohla kapitálové trhy znovu rozkolísat,“</w:t>
      </w:r>
      <w:r w:rsidR="00C90183" w:rsidRPr="007231DA">
        <w:rPr>
          <w:rFonts w:cs="Arial"/>
          <w:szCs w:val="22"/>
          <w:lang w:val="cs-CZ"/>
        </w:rPr>
        <w:t xml:space="preserve"> upozorňuje Peter Wells. </w:t>
      </w:r>
      <w:r w:rsidR="00C90183" w:rsidRPr="007231DA">
        <w:rPr>
          <w:rFonts w:cs="Arial"/>
          <w:i/>
          <w:szCs w:val="22"/>
          <w:lang w:val="cs-CZ"/>
        </w:rPr>
        <w:t xml:space="preserve">„Nicméně, pokud nepřijde nějaká nepředvídatelná krize, </w:t>
      </w:r>
      <w:r w:rsidR="007B29B6">
        <w:rPr>
          <w:rFonts w:cs="Arial"/>
          <w:i/>
          <w:szCs w:val="22"/>
          <w:lang w:val="cs-CZ"/>
        </w:rPr>
        <w:t>lze očekávat</w:t>
      </w:r>
      <w:r w:rsidR="00C90183" w:rsidRPr="007231DA">
        <w:rPr>
          <w:rFonts w:cs="Arial"/>
          <w:i/>
          <w:szCs w:val="22"/>
          <w:lang w:val="cs-CZ"/>
        </w:rPr>
        <w:t xml:space="preserve">, že primárním emisím se bude letos dařit lépe než v roce předchozím.“ </w:t>
      </w:r>
    </w:p>
    <w:p w:rsidR="000A24D1" w:rsidRDefault="000A24D1" w:rsidP="00C90183">
      <w:pPr>
        <w:pStyle w:val="EYBodytextwithparaspace"/>
        <w:spacing w:before="120" w:after="120"/>
        <w:rPr>
          <w:rFonts w:cs="Arial"/>
          <w:b/>
          <w:szCs w:val="22"/>
          <w:lang w:val="cs-CZ"/>
        </w:rPr>
      </w:pPr>
    </w:p>
    <w:p w:rsidR="00C90183" w:rsidRPr="007231DA" w:rsidRDefault="00C90183" w:rsidP="00C90183">
      <w:pPr>
        <w:pStyle w:val="EYBodytextwithparaspace"/>
        <w:spacing w:before="120" w:after="120"/>
        <w:rPr>
          <w:rFonts w:cs="Arial"/>
          <w:b/>
          <w:szCs w:val="22"/>
          <w:lang w:val="cs-CZ"/>
        </w:rPr>
      </w:pPr>
      <w:r w:rsidRPr="007231DA">
        <w:rPr>
          <w:rFonts w:cs="Arial"/>
          <w:b/>
          <w:szCs w:val="22"/>
          <w:lang w:val="cs-CZ"/>
        </w:rPr>
        <w:t xml:space="preserve">Výhled amerických trhů pro letošní rok </w:t>
      </w:r>
    </w:p>
    <w:p w:rsidR="00C90183" w:rsidRPr="007231DA" w:rsidRDefault="00C90183" w:rsidP="00C90183">
      <w:pPr>
        <w:pStyle w:val="EYBodytextwithparaspace"/>
        <w:spacing w:after="120"/>
        <w:rPr>
          <w:rFonts w:cs="Arial"/>
          <w:szCs w:val="22"/>
          <w:lang w:val="cs-CZ"/>
        </w:rPr>
      </w:pPr>
      <w:r w:rsidRPr="007231DA">
        <w:rPr>
          <w:rFonts w:cs="Arial"/>
          <w:szCs w:val="22"/>
          <w:lang w:val="cs-CZ"/>
        </w:rPr>
        <w:t xml:space="preserve">Na burzách ve Spojených státech se během prvních dvou měsíců roku 2011 uskutečnilo 26 primárních emisí v celkové hodnotě 9,0 miliard dolarů. Kromě toho bylo koncem února 150 dalších společností v různých fázích přípravy IPO, které by jim podle předpokladu měly přinést kolem 42 miliard dolarů. Jsou mezi nimi společnosti vlastněné private equity fondy či fondy rizikového kapitálu, rychle rostoucí technologické nebo zdravotnické podniky, realitní společnosti, společnosti se sídlem v Číně, samostatné subjekty vydělované z velkých korporací, případně americké společnosti financované z vládního programu finanční pomoci TARP (Troubled Asset Relief Program). V letošním roce se také uskutečnila zatím největší primární emise podniku vlastněného private equity kapitálem v americké historii – jde o IPO energetické společnosti Kinder Morgan v hodnotě 3,3 miliardy dolarů. Dá se předpokládat, že trend emisí, za kterými stojí silné finanční instituce, bude pokračovat i do budoucna. </w:t>
      </w:r>
    </w:p>
    <w:p w:rsidR="00C90183" w:rsidRPr="007231DA" w:rsidRDefault="00C90183" w:rsidP="00C90183">
      <w:pPr>
        <w:pStyle w:val="EYBodytextwithparaspace"/>
        <w:spacing w:before="120"/>
        <w:rPr>
          <w:rFonts w:cs="Arial"/>
          <w:szCs w:val="22"/>
          <w:lang w:val="cs-CZ"/>
        </w:rPr>
      </w:pPr>
      <w:r w:rsidRPr="007231DA">
        <w:rPr>
          <w:rFonts w:cs="Arial"/>
          <w:szCs w:val="22"/>
          <w:lang w:val="cs-CZ"/>
        </w:rPr>
        <w:t xml:space="preserve">Co se týče </w:t>
      </w:r>
      <w:r w:rsidRPr="007231DA">
        <w:rPr>
          <w:rFonts w:cs="Arial"/>
          <w:b/>
          <w:szCs w:val="22"/>
          <w:lang w:val="cs-CZ"/>
        </w:rPr>
        <w:t>Brazílie</w:t>
      </w:r>
      <w:r w:rsidRPr="007231DA">
        <w:rPr>
          <w:rFonts w:cs="Arial"/>
          <w:szCs w:val="22"/>
          <w:lang w:val="cs-CZ"/>
        </w:rPr>
        <w:t xml:space="preserve">, i přes rostoucí inflaci a následný nepříznivý vývoj cen akcií po emisi by se v Brazílii v letošním roce mělo uskutečnit asi 30 IPO, každá průměrně v hodnotě 500 milionů amerických dolarů. Předpokládá se, že převažovat budou společnosti podnikající v maloobchodním sektoru a ropné, plynárenské a báňské podniky.   </w:t>
      </w:r>
    </w:p>
    <w:p w:rsidR="003444BE" w:rsidRDefault="003444BE" w:rsidP="00C90183">
      <w:pPr>
        <w:pStyle w:val="EYBodytextwithparaspace"/>
        <w:spacing w:before="120" w:after="120"/>
        <w:rPr>
          <w:rFonts w:cs="Arial"/>
          <w:b/>
          <w:szCs w:val="22"/>
          <w:lang w:val="cs-CZ"/>
        </w:rPr>
      </w:pPr>
    </w:p>
    <w:p w:rsidR="00C90183" w:rsidRPr="007231DA" w:rsidRDefault="00C90183" w:rsidP="00C90183">
      <w:pPr>
        <w:pStyle w:val="EYBodytextwithparaspace"/>
        <w:spacing w:before="120" w:after="120"/>
        <w:rPr>
          <w:rFonts w:cs="Arial"/>
          <w:b/>
          <w:szCs w:val="22"/>
          <w:lang w:val="cs-CZ"/>
        </w:rPr>
      </w:pPr>
      <w:r w:rsidRPr="007231DA">
        <w:rPr>
          <w:rFonts w:cs="Arial"/>
          <w:b/>
          <w:szCs w:val="22"/>
          <w:lang w:val="cs-CZ"/>
        </w:rPr>
        <w:lastRenderedPageBreak/>
        <w:t>Výhled asijských trhů pro letošní rok</w:t>
      </w:r>
    </w:p>
    <w:p w:rsidR="00C90183" w:rsidRPr="007231DA" w:rsidRDefault="00C90183" w:rsidP="00C90183">
      <w:pPr>
        <w:pStyle w:val="EYBodytextwithparaspace"/>
        <w:spacing w:before="120" w:after="120"/>
        <w:rPr>
          <w:rFonts w:cs="Arial"/>
          <w:szCs w:val="22"/>
          <w:lang w:val="cs-CZ"/>
        </w:rPr>
      </w:pPr>
      <w:r w:rsidRPr="007231DA">
        <w:rPr>
          <w:rFonts w:cs="Arial"/>
          <w:b/>
          <w:szCs w:val="22"/>
          <w:lang w:val="cs-CZ"/>
        </w:rPr>
        <w:t>Čína</w:t>
      </w:r>
      <w:r w:rsidRPr="007231DA">
        <w:rPr>
          <w:rFonts w:cs="Arial"/>
          <w:szCs w:val="22"/>
          <w:lang w:val="cs-CZ"/>
        </w:rPr>
        <w:t xml:space="preserve">: Vše nasvědčuje tomu, že i v roce 2011 zůstane lídrem trhů s primárními emisemi Čína. Během prvních dvou měsíců letošního roku se na šanghajské burze uskutečnilo osm IPO v celkové hodnotě 4.0 miliardy amerických dolarů. Burza </w:t>
      </w:r>
      <w:r w:rsidRPr="007231DA">
        <w:rPr>
          <w:color w:val="000000" w:themeColor="text1"/>
          <w:szCs w:val="22"/>
          <w:lang w:val="cs-CZ"/>
        </w:rPr>
        <w:t>v </w:t>
      </w:r>
      <w:r w:rsidRPr="007231DA">
        <w:rPr>
          <w:rFonts w:cs="Arial"/>
          <w:color w:val="333333"/>
          <w:szCs w:val="22"/>
          <w:lang w:val="cs-CZ"/>
        </w:rPr>
        <w:t>čínském Šen-čenu</w:t>
      </w:r>
      <w:r w:rsidRPr="007231DA">
        <w:rPr>
          <w:rFonts w:cs="Arial"/>
          <w:szCs w:val="22"/>
          <w:lang w:val="cs-CZ"/>
        </w:rPr>
        <w:t xml:space="preserve"> realizovala dokonce 51 primárních emisí celkem za 6,5 miliardy dolarů </w:t>
      </w:r>
      <w:r w:rsidRPr="003444BE">
        <w:rPr>
          <w:rFonts w:cs="Arial"/>
          <w:szCs w:val="22"/>
          <w:lang w:val="cs-CZ"/>
        </w:rPr>
        <w:t xml:space="preserve">(22 v segmentu SME a 29 na trhu </w:t>
      </w:r>
      <w:proofErr w:type="spellStart"/>
      <w:r w:rsidRPr="003444BE">
        <w:rPr>
          <w:rFonts w:cs="Arial"/>
          <w:szCs w:val="22"/>
          <w:lang w:val="cs-CZ"/>
        </w:rPr>
        <w:t>Chi</w:t>
      </w:r>
      <w:proofErr w:type="spellEnd"/>
      <w:r w:rsidRPr="003444BE">
        <w:rPr>
          <w:rFonts w:cs="Arial"/>
          <w:szCs w:val="22"/>
          <w:lang w:val="cs-CZ"/>
        </w:rPr>
        <w:t>-</w:t>
      </w:r>
      <w:proofErr w:type="spellStart"/>
      <w:r w:rsidRPr="003444BE">
        <w:rPr>
          <w:rFonts w:cs="Arial"/>
          <w:szCs w:val="22"/>
          <w:lang w:val="cs-CZ"/>
        </w:rPr>
        <w:t>next</w:t>
      </w:r>
      <w:proofErr w:type="spellEnd"/>
      <w:r w:rsidRPr="003444BE">
        <w:rPr>
          <w:rFonts w:cs="Arial"/>
          <w:szCs w:val="22"/>
          <w:lang w:val="cs-CZ"/>
        </w:rPr>
        <w:t>).</w:t>
      </w:r>
      <w:r w:rsidRPr="007231DA">
        <w:rPr>
          <w:rFonts w:cs="Arial"/>
          <w:szCs w:val="22"/>
          <w:lang w:val="cs-CZ"/>
        </w:rPr>
        <w:t xml:space="preserve"> </w:t>
      </w:r>
    </w:p>
    <w:p w:rsidR="00C90183" w:rsidRPr="007231DA" w:rsidRDefault="00C90183" w:rsidP="00C90183">
      <w:pPr>
        <w:pStyle w:val="EYBodytextwithparaspace"/>
        <w:spacing w:before="120" w:after="120"/>
        <w:rPr>
          <w:rFonts w:cs="Arial"/>
          <w:szCs w:val="22"/>
          <w:lang w:val="cs-CZ"/>
        </w:rPr>
      </w:pPr>
      <w:r w:rsidRPr="007231DA">
        <w:rPr>
          <w:rFonts w:cs="Arial"/>
          <w:szCs w:val="22"/>
          <w:lang w:val="cs-CZ"/>
        </w:rPr>
        <w:t>Hongkongská burza (</w:t>
      </w:r>
      <w:proofErr w:type="spellStart"/>
      <w:r w:rsidRPr="007231DA">
        <w:rPr>
          <w:rFonts w:cs="Arial"/>
          <w:szCs w:val="22"/>
          <w:lang w:val="cs-CZ"/>
        </w:rPr>
        <w:t>HKEx</w:t>
      </w:r>
      <w:proofErr w:type="spellEnd"/>
      <w:r w:rsidRPr="007231DA">
        <w:rPr>
          <w:rFonts w:cs="Arial"/>
          <w:szCs w:val="22"/>
          <w:lang w:val="cs-CZ"/>
        </w:rPr>
        <w:t xml:space="preserve">) očekává, že celková hodnota primárních emisí v letošním roce přesáhne 50 miliard amerických dolarů. Jejím cílem je přilákat další zahraniční emitenty, především má zájem o </w:t>
      </w:r>
      <w:r w:rsidR="00431DC8">
        <w:rPr>
          <w:rFonts w:cs="Arial"/>
          <w:szCs w:val="22"/>
          <w:lang w:val="cs-CZ"/>
        </w:rPr>
        <w:t xml:space="preserve">oblast </w:t>
      </w:r>
      <w:r w:rsidRPr="007231DA">
        <w:rPr>
          <w:rFonts w:cs="Arial"/>
          <w:szCs w:val="22"/>
          <w:lang w:val="cs-CZ"/>
        </w:rPr>
        <w:t>přírodní</w:t>
      </w:r>
      <w:r w:rsidR="00431DC8">
        <w:rPr>
          <w:rFonts w:cs="Arial"/>
          <w:szCs w:val="22"/>
          <w:lang w:val="cs-CZ"/>
        </w:rPr>
        <w:t>ch zdrojů</w:t>
      </w:r>
      <w:r w:rsidRPr="007231DA">
        <w:rPr>
          <w:rFonts w:cs="Arial"/>
          <w:szCs w:val="22"/>
          <w:lang w:val="cs-CZ"/>
        </w:rPr>
        <w:t xml:space="preserve">, např. ropné společnosti. </w:t>
      </w:r>
    </w:p>
    <w:p w:rsidR="00C90183" w:rsidRPr="007231DA" w:rsidRDefault="00C90183" w:rsidP="00C90183">
      <w:pPr>
        <w:pStyle w:val="EYBodytextwithparaspace"/>
        <w:spacing w:before="120" w:after="120"/>
        <w:rPr>
          <w:rFonts w:cs="Arial"/>
          <w:szCs w:val="22"/>
          <w:lang w:val="cs-CZ"/>
        </w:rPr>
      </w:pPr>
      <w:r w:rsidRPr="007231DA">
        <w:rPr>
          <w:rFonts w:cs="Arial"/>
          <w:i/>
          <w:szCs w:val="22"/>
          <w:lang w:val="cs-CZ"/>
        </w:rPr>
        <w:t>„</w:t>
      </w:r>
      <w:proofErr w:type="spellStart"/>
      <w:r w:rsidRPr="007231DA">
        <w:rPr>
          <w:rFonts w:cs="Arial"/>
          <w:i/>
          <w:szCs w:val="22"/>
          <w:lang w:val="cs-CZ"/>
        </w:rPr>
        <w:t>HKEx</w:t>
      </w:r>
      <w:proofErr w:type="spellEnd"/>
      <w:r w:rsidRPr="007231DA">
        <w:rPr>
          <w:rFonts w:cs="Arial"/>
          <w:i/>
          <w:szCs w:val="22"/>
          <w:lang w:val="cs-CZ"/>
        </w:rPr>
        <w:t xml:space="preserve"> je jedinou čínskou burzou, která je bez omezení přístupná zahraničním investorům,“ upozorňuje </w:t>
      </w:r>
      <w:r w:rsidR="0032341F">
        <w:rPr>
          <w:rFonts w:cs="Arial"/>
          <w:i/>
          <w:szCs w:val="22"/>
          <w:lang w:val="cs-CZ"/>
        </w:rPr>
        <w:t>Petr Kříž</w:t>
      </w:r>
      <w:r w:rsidRPr="007231DA">
        <w:rPr>
          <w:rFonts w:cs="Arial"/>
          <w:i/>
          <w:szCs w:val="22"/>
          <w:lang w:val="cs-CZ"/>
        </w:rPr>
        <w:t>. „Proto na ní emitují své akcie ty čínské společnosti, které mají mezinárodní ambice a zájem o finanční prostředky ze zahraničí.“</w:t>
      </w:r>
      <w:r w:rsidRPr="007231DA">
        <w:rPr>
          <w:rFonts w:cs="Arial"/>
          <w:szCs w:val="22"/>
          <w:lang w:val="cs-CZ"/>
        </w:rPr>
        <w:t xml:space="preserve"> V regionu „velké Číny“ se pro letošek připravuje celá řada atraktivních emisí. IPO chystají jednak některé velké státní podniky a jednak četné malé a středně velké společnosti podnikající ve spotřebním průmyslu, výstavbě infrastruktury, čistých technologiích nebo ve farmaceutickém průmyslu. </w:t>
      </w:r>
    </w:p>
    <w:p w:rsidR="00C90183" w:rsidRPr="007231DA" w:rsidRDefault="00C90183" w:rsidP="00C90183">
      <w:pPr>
        <w:pStyle w:val="EYBodytextwithparaspace"/>
        <w:spacing w:before="120"/>
        <w:rPr>
          <w:rFonts w:cs="Arial"/>
          <w:szCs w:val="22"/>
          <w:lang w:val="cs-CZ"/>
        </w:rPr>
      </w:pPr>
      <w:r w:rsidRPr="007231DA">
        <w:rPr>
          <w:rFonts w:cs="Arial"/>
          <w:b/>
          <w:szCs w:val="22"/>
          <w:lang w:val="cs-CZ"/>
        </w:rPr>
        <w:t>Indie</w:t>
      </w:r>
      <w:r w:rsidRPr="007231DA">
        <w:rPr>
          <w:rFonts w:cs="Arial"/>
          <w:szCs w:val="22"/>
          <w:lang w:val="cs-CZ"/>
        </w:rPr>
        <w:t>: Indický kapitálový trh s primárními emisemi oživuje velice rychle, především díky 8% růstu HDP a solidním ziskům v </w:t>
      </w:r>
      <w:proofErr w:type="spellStart"/>
      <w:r w:rsidRPr="007231DA">
        <w:rPr>
          <w:rFonts w:cs="Arial"/>
          <w:szCs w:val="22"/>
          <w:lang w:val="cs-CZ"/>
        </w:rPr>
        <w:t>korporátní</w:t>
      </w:r>
      <w:proofErr w:type="spellEnd"/>
      <w:r w:rsidRPr="007231DA">
        <w:rPr>
          <w:rFonts w:cs="Arial"/>
          <w:szCs w:val="22"/>
          <w:lang w:val="cs-CZ"/>
        </w:rPr>
        <w:t xml:space="preserve"> sféře. Pozitivní dopad má rovněž obří celostátní plán investic do infrastruktury v celkové hodnotě jednoho bilionu amerických dolarů a privatizační program vlády v hodnotě 10 miliard dolarů. Nepřekvapí proto, že primární či dodatečnou emisi v letošním roce chystá více než stovka indických společností. </w:t>
      </w:r>
    </w:p>
    <w:p w:rsidR="00C90183" w:rsidRDefault="00C90183" w:rsidP="00C90183">
      <w:pPr>
        <w:pStyle w:val="EYBodytextwithparaspace"/>
        <w:spacing w:after="0" w:line="240" w:lineRule="auto"/>
        <w:ind w:right="-85"/>
        <w:rPr>
          <w:rFonts w:cs="Arial"/>
          <w:b/>
          <w:sz w:val="18"/>
          <w:szCs w:val="18"/>
          <w:lang w:val="cs-CZ"/>
        </w:rPr>
      </w:pPr>
      <w:r w:rsidRPr="00704B38">
        <w:rPr>
          <w:rFonts w:cs="Arial"/>
          <w:b/>
          <w:sz w:val="18"/>
          <w:szCs w:val="18"/>
          <w:lang w:val="cs-CZ"/>
        </w:rPr>
        <w:t>Informace o průzkumu</w:t>
      </w:r>
    </w:p>
    <w:p w:rsidR="00260789" w:rsidRDefault="00C90183" w:rsidP="00C90183">
      <w:pPr>
        <w:rPr>
          <w:rFonts w:ascii="Arial" w:hAnsi="Arial" w:cs="Arial"/>
          <w:sz w:val="18"/>
          <w:szCs w:val="18"/>
        </w:rPr>
      </w:pPr>
      <w:r w:rsidRPr="00C90183">
        <w:rPr>
          <w:rFonts w:ascii="Arial" w:hAnsi="Arial" w:cs="Arial"/>
          <w:sz w:val="18"/>
          <w:szCs w:val="18"/>
        </w:rPr>
        <w:t>Osmá zpráva společnosti Ernst &amp; Young o globálních trendech v oblasti primárních emisí akcií mapuje – mimo jiné i z pohledu některých nejvýznamnějších</w:t>
      </w:r>
      <w:r w:rsidR="007231DA">
        <w:rPr>
          <w:rFonts w:ascii="Arial" w:hAnsi="Arial" w:cs="Arial"/>
          <w:sz w:val="18"/>
          <w:szCs w:val="18"/>
        </w:rPr>
        <w:t xml:space="preserve"> světových</w:t>
      </w:r>
      <w:r w:rsidRPr="00C90183">
        <w:rPr>
          <w:rFonts w:ascii="Arial" w:hAnsi="Arial" w:cs="Arial"/>
          <w:sz w:val="18"/>
          <w:szCs w:val="18"/>
        </w:rPr>
        <w:t xml:space="preserve"> investičních bankéřů – perspektivy kapitálových trhů v letošním roce </w:t>
      </w:r>
      <w:r w:rsidR="00040AED">
        <w:rPr>
          <w:rFonts w:ascii="Arial" w:hAnsi="Arial" w:cs="Arial"/>
          <w:sz w:val="18"/>
          <w:szCs w:val="18"/>
        </w:rPr>
        <w:br/>
      </w:r>
      <w:r w:rsidRPr="00C90183">
        <w:rPr>
          <w:rFonts w:ascii="Arial" w:hAnsi="Arial" w:cs="Arial"/>
          <w:sz w:val="18"/>
          <w:szCs w:val="18"/>
        </w:rPr>
        <w:t>a analyzuje nejdůležitější tendence, které ukázal jejich vývoj v roce 2010.</w:t>
      </w:r>
    </w:p>
    <w:p w:rsidR="00C90183" w:rsidRPr="00C90183" w:rsidRDefault="00C90183" w:rsidP="00C90183">
      <w:pPr>
        <w:rPr>
          <w:rFonts w:ascii="Arial" w:hAnsi="Arial" w:cs="Arial"/>
          <w:sz w:val="18"/>
          <w:szCs w:val="18"/>
        </w:rPr>
      </w:pPr>
    </w:p>
    <w:p w:rsidR="00E16959" w:rsidRPr="007205B4" w:rsidRDefault="00704B38" w:rsidP="00252AAB">
      <w:pPr>
        <w:pStyle w:val="EYBodytextwithparaspace"/>
        <w:spacing w:after="0" w:line="240" w:lineRule="auto"/>
        <w:ind w:right="-85"/>
        <w:rPr>
          <w:rFonts w:cs="Arial"/>
          <w:b/>
          <w:sz w:val="18"/>
          <w:szCs w:val="18"/>
          <w:lang w:val="cs-CZ"/>
        </w:rPr>
      </w:pPr>
      <w:r>
        <w:rPr>
          <w:rFonts w:cs="Arial"/>
          <w:b/>
          <w:sz w:val="18"/>
          <w:szCs w:val="18"/>
          <w:lang w:val="cs-CZ"/>
        </w:rPr>
        <w:t>Informace o Ernst &amp; Young</w:t>
      </w:r>
    </w:p>
    <w:p w:rsidR="00E16959" w:rsidRPr="007205B4" w:rsidRDefault="00704B38" w:rsidP="00E16959">
      <w:pPr>
        <w:ind w:right="-85"/>
        <w:rPr>
          <w:rFonts w:ascii="Arial" w:hAnsi="Arial" w:cs="Arial"/>
          <w:sz w:val="18"/>
          <w:szCs w:val="18"/>
        </w:rPr>
      </w:pPr>
      <w:r>
        <w:rPr>
          <w:rFonts w:ascii="Arial" w:hAnsi="Arial" w:cs="Arial"/>
          <w:sz w:val="18"/>
          <w:szCs w:val="18"/>
        </w:rPr>
        <w:t>Ernst &amp; Young patří mezi nejvýznamnější celosvětové firmy poskytující odborné poradenské služby v oblasti auditu a daňového, transakčního a podnikového poradenství. Naši odborníci, jichž po celém světě působí 141 tisíc, vyznávají stejné hodnoty a spojuje je maximální důraz na kvalitu poskytovaných služeb. Pomáháme našim zaměstnancům, klientům i širšímu společenství uplatňovat jejich potenciál. V tom je náš hlavní přínos.</w:t>
      </w:r>
    </w:p>
    <w:p w:rsidR="00E16959" w:rsidRPr="007205B4" w:rsidRDefault="00E16959" w:rsidP="00E16959">
      <w:pPr>
        <w:ind w:right="-85"/>
        <w:rPr>
          <w:rFonts w:ascii="Arial" w:hAnsi="Arial" w:cs="Arial"/>
          <w:sz w:val="18"/>
          <w:szCs w:val="18"/>
        </w:rPr>
      </w:pPr>
    </w:p>
    <w:p w:rsidR="00E16959" w:rsidRPr="007205B4" w:rsidRDefault="00E16959" w:rsidP="00E16959">
      <w:pPr>
        <w:ind w:right="-85"/>
        <w:rPr>
          <w:rFonts w:ascii="Arial" w:hAnsi="Arial" w:cs="Arial"/>
          <w:sz w:val="18"/>
          <w:szCs w:val="18"/>
        </w:rPr>
      </w:pPr>
    </w:p>
    <w:p w:rsidR="00695547" w:rsidRPr="007205B4" w:rsidRDefault="00704B38" w:rsidP="00E16959">
      <w:pPr>
        <w:ind w:right="-85"/>
        <w:rPr>
          <w:rFonts w:ascii="Arial" w:hAnsi="Arial" w:cs="Arial"/>
          <w:sz w:val="18"/>
          <w:szCs w:val="18"/>
        </w:rPr>
      </w:pPr>
      <w:r>
        <w:rPr>
          <w:rFonts w:ascii="Arial" w:hAnsi="Arial" w:cs="Arial"/>
          <w:i/>
          <w:kern w:val="12"/>
          <w:sz w:val="18"/>
          <w:szCs w:val="18"/>
        </w:rPr>
        <w:t xml:space="preserve">Název Ernst &amp; Young zahrnuje všechny společnosti celosvětové organizace, jejíž řídící společností je britská Ernst </w:t>
      </w:r>
      <w:r>
        <w:rPr>
          <w:rFonts w:ascii="Arial" w:hAnsi="Arial" w:cs="Arial"/>
          <w:i/>
          <w:kern w:val="12"/>
          <w:sz w:val="18"/>
          <w:szCs w:val="18"/>
        </w:rPr>
        <w:br/>
        <w:t xml:space="preserve">&amp; Young </w:t>
      </w:r>
      <w:proofErr w:type="spellStart"/>
      <w:r>
        <w:rPr>
          <w:rFonts w:ascii="Arial" w:hAnsi="Arial" w:cs="Arial"/>
          <w:i/>
          <w:kern w:val="12"/>
          <w:sz w:val="18"/>
          <w:szCs w:val="18"/>
        </w:rPr>
        <w:t>Global</w:t>
      </w:r>
      <w:proofErr w:type="spellEnd"/>
      <w:r>
        <w:rPr>
          <w:rFonts w:ascii="Arial" w:hAnsi="Arial" w:cs="Arial"/>
          <w:i/>
          <w:kern w:val="12"/>
          <w:sz w:val="18"/>
          <w:szCs w:val="18"/>
        </w:rPr>
        <w:t xml:space="preserve"> Limited. Každá z členských společností má vlastní právní subjektivitu. Ernst &amp; Young </w:t>
      </w:r>
      <w:proofErr w:type="spellStart"/>
      <w:r>
        <w:rPr>
          <w:rFonts w:ascii="Arial" w:hAnsi="Arial" w:cs="Arial"/>
          <w:i/>
          <w:kern w:val="12"/>
          <w:sz w:val="18"/>
          <w:szCs w:val="18"/>
        </w:rPr>
        <w:t>Global</w:t>
      </w:r>
      <w:proofErr w:type="spellEnd"/>
      <w:r>
        <w:rPr>
          <w:rFonts w:ascii="Arial" w:hAnsi="Arial" w:cs="Arial"/>
          <w:i/>
          <w:kern w:val="12"/>
          <w:sz w:val="18"/>
          <w:szCs w:val="18"/>
        </w:rPr>
        <w:t xml:space="preserve"> Limited neposkytuje své služby přímo klientům.</w:t>
      </w:r>
      <w:r>
        <w:rPr>
          <w:rFonts w:ascii="Arial" w:hAnsi="Arial" w:cs="Arial"/>
          <w:sz w:val="18"/>
          <w:szCs w:val="18"/>
        </w:rPr>
        <w:t xml:space="preserve"> Podrobnější informace najdete na našich webových stránkách </w:t>
      </w:r>
      <w:hyperlink r:id="rId7" w:history="1">
        <w:r>
          <w:rPr>
            <w:rStyle w:val="Hyperlink"/>
            <w:rFonts w:ascii="Arial" w:hAnsi="Arial" w:cs="Arial"/>
            <w:color w:val="auto"/>
            <w:sz w:val="18"/>
            <w:szCs w:val="18"/>
          </w:rPr>
          <w:t>www.ey.com/cz</w:t>
        </w:r>
      </w:hyperlink>
      <w:r w:rsidRPr="00704B38">
        <w:rPr>
          <w:rFonts w:ascii="Arial" w:hAnsi="Arial" w:cs="Arial"/>
          <w:sz w:val="18"/>
          <w:szCs w:val="18"/>
        </w:rPr>
        <w:t>.</w:t>
      </w:r>
    </w:p>
    <w:sectPr w:rsidR="00695547" w:rsidRPr="007205B4" w:rsidSect="00DF3E60">
      <w:headerReference w:type="default" r:id="rId8"/>
      <w:headerReference w:type="first" r:id="rId9"/>
      <w:footerReference w:type="first" r:id="rId10"/>
      <w:pgSz w:w="11907" w:h="16840" w:code="9"/>
      <w:pgMar w:top="2336" w:right="850"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69A" w:rsidRDefault="002A569A">
      <w:r>
        <w:separator/>
      </w:r>
    </w:p>
  </w:endnote>
  <w:endnote w:type="continuationSeparator" w:id="0">
    <w:p w:rsidR="002A569A" w:rsidRDefault="002A5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YInterstate">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YInterstate Light">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3C" w:rsidRDefault="0060061E">
    <w:pPr>
      <w:pStyle w:val="Footer"/>
    </w:pPr>
    <w:r w:rsidRPr="0060061E">
      <w:rPr>
        <w:noProof/>
      </w:rPr>
      <w:pict>
        <v:shapetype id="_x0000_t202" coordsize="21600,21600" o:spt="202" path="m,l,21600r21600,l21600,xe">
          <v:stroke joinstyle="miter"/>
          <v:path gradientshapeok="t" o:connecttype="rect"/>
        </v:shapetype>
        <v:shape id="_x0000_s2051" type="#_x0000_t202" style="position:absolute;margin-left:396.35pt;margin-top:813.65pt;width:135pt;height:9pt;z-index:-251657728;mso-position-horizontal-relative:page;mso-position-vertical-relative:page" filled="f" stroked="f">
          <v:textbox style="mso-next-textbox:#_x0000_s2051" inset="0,0,0,0">
            <w:txbxContent>
              <w:p w:rsidR="00E0593C" w:rsidRDefault="00E0593C">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69A" w:rsidRDefault="002A569A">
      <w:r>
        <w:separator/>
      </w:r>
    </w:p>
  </w:footnote>
  <w:footnote w:type="continuationSeparator" w:id="0">
    <w:p w:rsidR="002A569A" w:rsidRDefault="002A5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3C" w:rsidRDefault="00E0593C">
    <w:pPr>
      <w:pStyle w:val="EYBusinessaddressbold"/>
      <w:ind w:firstLine="6579"/>
      <w:rPr>
        <w:rFonts w:ascii="Arial" w:hAnsi="Arial" w:cs="Arial"/>
        <w:szCs w:val="15"/>
      </w:rPr>
    </w:pPr>
    <w:r>
      <w:rPr>
        <w:b w:val="0"/>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obrázek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E0593C" w:rsidRDefault="00E0593C">
    <w:pPr>
      <w:pStyle w:val="EYBusinessaddressbold"/>
      <w:ind w:firstLine="6579"/>
      <w:rPr>
        <w:rFonts w:ascii="Arial" w:hAnsi="Arial" w:cs="Arial"/>
        <w:szCs w:val="15"/>
      </w:rPr>
    </w:pPr>
  </w:p>
  <w:p w:rsidR="00E0593C" w:rsidRDefault="00E0593C">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E0593C" w:rsidRDefault="00E0593C">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E0593C" w:rsidRDefault="00E0593C">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E0593C" w:rsidRDefault="00E0593C">
    <w:pPr>
      <w:pStyle w:val="EYBusinessaddress"/>
      <w:ind w:firstLine="6579"/>
      <w:rPr>
        <w:lang w:val="de-DE"/>
      </w:rPr>
    </w:pPr>
    <w:r>
      <w:rPr>
        <w:lang w:val="de-DE"/>
      </w:rPr>
      <w:t>www.ey.com/cz</w:t>
    </w:r>
  </w:p>
  <w:p w:rsidR="00E0593C" w:rsidRDefault="00E0593C">
    <w:pPr>
      <w:pStyle w:val="Header"/>
      <w:tabs>
        <w:tab w:val="left" w:pos="6537"/>
      </w:tabs>
      <w:rPr>
        <w:lang w:val="de-DE"/>
      </w:rPr>
    </w:pPr>
  </w:p>
  <w:p w:rsidR="00E0593C" w:rsidRDefault="00E0593C">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3C" w:rsidRDefault="00E0593C">
    <w:pPr>
      <w:pStyle w:val="EYBusinessaddressbold"/>
      <w:ind w:firstLine="6579"/>
      <w:rPr>
        <w:rFonts w:ascii="Arial" w:hAnsi="Arial" w:cs="Arial"/>
        <w:szCs w:val="15"/>
      </w:rPr>
    </w:pPr>
    <w:r>
      <w:rPr>
        <w:b w:val="0"/>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1" name="obrázek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E0593C" w:rsidRDefault="00E0593C">
    <w:pPr>
      <w:pStyle w:val="EYBusinessaddressbold"/>
      <w:ind w:firstLine="6579"/>
      <w:rPr>
        <w:rFonts w:ascii="Arial" w:hAnsi="Arial" w:cs="Arial"/>
        <w:szCs w:val="15"/>
      </w:rPr>
    </w:pPr>
  </w:p>
  <w:p w:rsidR="00E0593C" w:rsidRDefault="00E0593C">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E0593C" w:rsidRDefault="00E0593C">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E0593C" w:rsidRDefault="00E0593C">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E0593C" w:rsidRDefault="00E0593C">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5729164"/>
    <w:lvl w:ilvl="0">
      <w:start w:val="1"/>
      <w:numFmt w:val="decimal"/>
      <w:pStyle w:val="ListNumber"/>
      <w:lvlText w:val="%1."/>
      <w:lvlJc w:val="left"/>
      <w:pPr>
        <w:tabs>
          <w:tab w:val="num" w:pos="360"/>
        </w:tabs>
        <w:ind w:left="360" w:hanging="360"/>
      </w:pPr>
    </w:lvl>
  </w:abstractNum>
  <w:abstractNum w:abstractNumId="1">
    <w:nsid w:val="FFFFFF89"/>
    <w:multiLevelType w:val="singleLevel"/>
    <w:tmpl w:val="0A10514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61019"/>
    <w:multiLevelType w:val="hybridMultilevel"/>
    <w:tmpl w:val="8BB8A56E"/>
    <w:lvl w:ilvl="0" w:tplc="214481A2">
      <w:start w:val="1"/>
      <w:numFmt w:val="bullet"/>
      <w:lvlText w:val="•"/>
      <w:lvlJc w:val="left"/>
      <w:pPr>
        <w:tabs>
          <w:tab w:val="num" w:pos="720"/>
        </w:tabs>
        <w:ind w:left="720" w:hanging="360"/>
      </w:pPr>
      <w:rPr>
        <w:rFonts w:ascii="Arial Unicode MS" w:hAnsi="Arial Unicode MS" w:hint="default"/>
      </w:rPr>
    </w:lvl>
    <w:lvl w:ilvl="1" w:tplc="B70A93FA" w:tentative="1">
      <w:start w:val="1"/>
      <w:numFmt w:val="bullet"/>
      <w:lvlText w:val="•"/>
      <w:lvlJc w:val="left"/>
      <w:pPr>
        <w:tabs>
          <w:tab w:val="num" w:pos="1440"/>
        </w:tabs>
        <w:ind w:left="1440" w:hanging="360"/>
      </w:pPr>
      <w:rPr>
        <w:rFonts w:ascii="Arial Unicode MS" w:hAnsi="Arial Unicode MS" w:hint="default"/>
      </w:rPr>
    </w:lvl>
    <w:lvl w:ilvl="2" w:tplc="58AAFE00">
      <w:start w:val="1"/>
      <w:numFmt w:val="bullet"/>
      <w:lvlText w:val="•"/>
      <w:lvlJc w:val="left"/>
      <w:pPr>
        <w:tabs>
          <w:tab w:val="num" w:pos="2160"/>
        </w:tabs>
        <w:ind w:left="2160" w:hanging="360"/>
      </w:pPr>
      <w:rPr>
        <w:rFonts w:ascii="Arial Unicode MS" w:hAnsi="Arial Unicode MS" w:hint="default"/>
      </w:rPr>
    </w:lvl>
    <w:lvl w:ilvl="3" w:tplc="D3BA04F6" w:tentative="1">
      <w:start w:val="1"/>
      <w:numFmt w:val="bullet"/>
      <w:lvlText w:val="•"/>
      <w:lvlJc w:val="left"/>
      <w:pPr>
        <w:tabs>
          <w:tab w:val="num" w:pos="2880"/>
        </w:tabs>
        <w:ind w:left="2880" w:hanging="360"/>
      </w:pPr>
      <w:rPr>
        <w:rFonts w:ascii="Arial Unicode MS" w:hAnsi="Arial Unicode MS" w:hint="default"/>
      </w:rPr>
    </w:lvl>
    <w:lvl w:ilvl="4" w:tplc="ABCAE060" w:tentative="1">
      <w:start w:val="1"/>
      <w:numFmt w:val="bullet"/>
      <w:lvlText w:val="•"/>
      <w:lvlJc w:val="left"/>
      <w:pPr>
        <w:tabs>
          <w:tab w:val="num" w:pos="3600"/>
        </w:tabs>
        <w:ind w:left="3600" w:hanging="360"/>
      </w:pPr>
      <w:rPr>
        <w:rFonts w:ascii="Arial Unicode MS" w:hAnsi="Arial Unicode MS" w:hint="default"/>
      </w:rPr>
    </w:lvl>
    <w:lvl w:ilvl="5" w:tplc="59E4173E" w:tentative="1">
      <w:start w:val="1"/>
      <w:numFmt w:val="bullet"/>
      <w:lvlText w:val="•"/>
      <w:lvlJc w:val="left"/>
      <w:pPr>
        <w:tabs>
          <w:tab w:val="num" w:pos="4320"/>
        </w:tabs>
        <w:ind w:left="4320" w:hanging="360"/>
      </w:pPr>
      <w:rPr>
        <w:rFonts w:ascii="Arial Unicode MS" w:hAnsi="Arial Unicode MS" w:hint="default"/>
      </w:rPr>
    </w:lvl>
    <w:lvl w:ilvl="6" w:tplc="EB20D50E" w:tentative="1">
      <w:start w:val="1"/>
      <w:numFmt w:val="bullet"/>
      <w:lvlText w:val="•"/>
      <w:lvlJc w:val="left"/>
      <w:pPr>
        <w:tabs>
          <w:tab w:val="num" w:pos="5040"/>
        </w:tabs>
        <w:ind w:left="5040" w:hanging="360"/>
      </w:pPr>
      <w:rPr>
        <w:rFonts w:ascii="Arial Unicode MS" w:hAnsi="Arial Unicode MS" w:hint="default"/>
      </w:rPr>
    </w:lvl>
    <w:lvl w:ilvl="7" w:tplc="22F803E8" w:tentative="1">
      <w:start w:val="1"/>
      <w:numFmt w:val="bullet"/>
      <w:lvlText w:val="•"/>
      <w:lvlJc w:val="left"/>
      <w:pPr>
        <w:tabs>
          <w:tab w:val="num" w:pos="5760"/>
        </w:tabs>
        <w:ind w:left="5760" w:hanging="360"/>
      </w:pPr>
      <w:rPr>
        <w:rFonts w:ascii="Arial Unicode MS" w:hAnsi="Arial Unicode MS" w:hint="default"/>
      </w:rPr>
    </w:lvl>
    <w:lvl w:ilvl="8" w:tplc="1B7839DC" w:tentative="1">
      <w:start w:val="1"/>
      <w:numFmt w:val="bullet"/>
      <w:lvlText w:val="•"/>
      <w:lvlJc w:val="left"/>
      <w:pPr>
        <w:tabs>
          <w:tab w:val="num" w:pos="6480"/>
        </w:tabs>
        <w:ind w:left="6480" w:hanging="360"/>
      </w:pPr>
      <w:rPr>
        <w:rFonts w:ascii="Arial Unicode MS" w:hAnsi="Arial Unicode MS" w:hint="default"/>
      </w:rPr>
    </w:lvl>
  </w:abstractNum>
  <w:abstractNum w:abstractNumId="3">
    <w:nsid w:val="080719F3"/>
    <w:multiLevelType w:val="hybridMultilevel"/>
    <w:tmpl w:val="7F8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E6205"/>
    <w:multiLevelType w:val="hybridMultilevel"/>
    <w:tmpl w:val="15466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7F4971"/>
    <w:multiLevelType w:val="hybridMultilevel"/>
    <w:tmpl w:val="80B40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BB7AD4"/>
    <w:multiLevelType w:val="hybridMultilevel"/>
    <w:tmpl w:val="D270C86A"/>
    <w:lvl w:ilvl="0" w:tplc="F07698B2">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021E48"/>
    <w:multiLevelType w:val="hybridMultilevel"/>
    <w:tmpl w:val="7BD64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34549"/>
    <w:multiLevelType w:val="singleLevel"/>
    <w:tmpl w:val="DE423576"/>
    <w:lvl w:ilvl="0">
      <w:start w:val="1"/>
      <w:numFmt w:val="bullet"/>
      <w:lvlRestart w:val="0"/>
      <w:lvlText w:val="-"/>
      <w:lvlJc w:val="left"/>
      <w:pPr>
        <w:tabs>
          <w:tab w:val="num" w:pos="850"/>
        </w:tabs>
        <w:ind w:left="850" w:hanging="425"/>
      </w:pPr>
      <w:rPr>
        <w:rFonts w:ascii="Symbol" w:hAnsi="Symbol" w:hint="default"/>
        <w:sz w:val="22"/>
      </w:rPr>
    </w:lvl>
  </w:abstractNum>
  <w:abstractNum w:abstractNumId="9">
    <w:nsid w:val="2B6B6291"/>
    <w:multiLevelType w:val="multilevel"/>
    <w:tmpl w:val="32F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76E4A"/>
    <w:multiLevelType w:val="hybridMultilevel"/>
    <w:tmpl w:val="93C4548E"/>
    <w:lvl w:ilvl="0" w:tplc="509036BA">
      <w:start w:val="1"/>
      <w:numFmt w:val="bullet"/>
      <w:lvlRestart w:val="0"/>
      <w:lvlText w:val="·"/>
      <w:lvlJc w:val="left"/>
      <w:pPr>
        <w:tabs>
          <w:tab w:val="num" w:pos="425"/>
        </w:tabs>
        <w:ind w:left="425" w:hanging="425"/>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1D51AA"/>
    <w:multiLevelType w:val="hybridMultilevel"/>
    <w:tmpl w:val="79260CCE"/>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2D7877"/>
    <w:multiLevelType w:val="hybridMultilevel"/>
    <w:tmpl w:val="8438F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F0860"/>
    <w:multiLevelType w:val="hybridMultilevel"/>
    <w:tmpl w:val="E482DFD8"/>
    <w:lvl w:ilvl="0" w:tplc="E13EA332">
      <w:start w:val="1"/>
      <w:numFmt w:val="bullet"/>
      <w:lvlText w:val="►"/>
      <w:lvlJc w:val="left"/>
      <w:pPr>
        <w:tabs>
          <w:tab w:val="num" w:pos="720"/>
        </w:tabs>
        <w:ind w:left="720" w:hanging="360"/>
      </w:pPr>
      <w:rPr>
        <w:rFonts w:ascii="Arial" w:hAnsi="Arial" w:hint="default"/>
      </w:rPr>
    </w:lvl>
    <w:lvl w:ilvl="1" w:tplc="59EAF8D8" w:tentative="1">
      <w:start w:val="1"/>
      <w:numFmt w:val="bullet"/>
      <w:lvlText w:val="►"/>
      <w:lvlJc w:val="left"/>
      <w:pPr>
        <w:tabs>
          <w:tab w:val="num" w:pos="1440"/>
        </w:tabs>
        <w:ind w:left="1440" w:hanging="360"/>
      </w:pPr>
      <w:rPr>
        <w:rFonts w:ascii="Arial" w:hAnsi="Arial" w:hint="default"/>
      </w:rPr>
    </w:lvl>
    <w:lvl w:ilvl="2" w:tplc="20082206" w:tentative="1">
      <w:start w:val="1"/>
      <w:numFmt w:val="bullet"/>
      <w:lvlText w:val="►"/>
      <w:lvlJc w:val="left"/>
      <w:pPr>
        <w:tabs>
          <w:tab w:val="num" w:pos="2160"/>
        </w:tabs>
        <w:ind w:left="2160" w:hanging="360"/>
      </w:pPr>
      <w:rPr>
        <w:rFonts w:ascii="Arial" w:hAnsi="Arial" w:hint="default"/>
      </w:rPr>
    </w:lvl>
    <w:lvl w:ilvl="3" w:tplc="A1AA9FEC" w:tentative="1">
      <w:start w:val="1"/>
      <w:numFmt w:val="bullet"/>
      <w:lvlText w:val="►"/>
      <w:lvlJc w:val="left"/>
      <w:pPr>
        <w:tabs>
          <w:tab w:val="num" w:pos="2880"/>
        </w:tabs>
        <w:ind w:left="2880" w:hanging="360"/>
      </w:pPr>
      <w:rPr>
        <w:rFonts w:ascii="Arial" w:hAnsi="Arial" w:hint="default"/>
      </w:rPr>
    </w:lvl>
    <w:lvl w:ilvl="4" w:tplc="8C56516C" w:tentative="1">
      <w:start w:val="1"/>
      <w:numFmt w:val="bullet"/>
      <w:lvlText w:val="►"/>
      <w:lvlJc w:val="left"/>
      <w:pPr>
        <w:tabs>
          <w:tab w:val="num" w:pos="3600"/>
        </w:tabs>
        <w:ind w:left="3600" w:hanging="360"/>
      </w:pPr>
      <w:rPr>
        <w:rFonts w:ascii="Arial" w:hAnsi="Arial" w:hint="default"/>
      </w:rPr>
    </w:lvl>
    <w:lvl w:ilvl="5" w:tplc="0FC0A0C0" w:tentative="1">
      <w:start w:val="1"/>
      <w:numFmt w:val="bullet"/>
      <w:lvlText w:val="►"/>
      <w:lvlJc w:val="left"/>
      <w:pPr>
        <w:tabs>
          <w:tab w:val="num" w:pos="4320"/>
        </w:tabs>
        <w:ind w:left="4320" w:hanging="360"/>
      </w:pPr>
      <w:rPr>
        <w:rFonts w:ascii="Arial" w:hAnsi="Arial" w:hint="default"/>
      </w:rPr>
    </w:lvl>
    <w:lvl w:ilvl="6" w:tplc="6DA49000" w:tentative="1">
      <w:start w:val="1"/>
      <w:numFmt w:val="bullet"/>
      <w:lvlText w:val="►"/>
      <w:lvlJc w:val="left"/>
      <w:pPr>
        <w:tabs>
          <w:tab w:val="num" w:pos="5040"/>
        </w:tabs>
        <w:ind w:left="5040" w:hanging="360"/>
      </w:pPr>
      <w:rPr>
        <w:rFonts w:ascii="Arial" w:hAnsi="Arial" w:hint="default"/>
      </w:rPr>
    </w:lvl>
    <w:lvl w:ilvl="7" w:tplc="FAF6310C" w:tentative="1">
      <w:start w:val="1"/>
      <w:numFmt w:val="bullet"/>
      <w:lvlText w:val="►"/>
      <w:lvlJc w:val="left"/>
      <w:pPr>
        <w:tabs>
          <w:tab w:val="num" w:pos="5760"/>
        </w:tabs>
        <w:ind w:left="5760" w:hanging="360"/>
      </w:pPr>
      <w:rPr>
        <w:rFonts w:ascii="Arial" w:hAnsi="Arial" w:hint="default"/>
      </w:rPr>
    </w:lvl>
    <w:lvl w:ilvl="8" w:tplc="FD7644D8" w:tentative="1">
      <w:start w:val="1"/>
      <w:numFmt w:val="bullet"/>
      <w:lvlText w:val="►"/>
      <w:lvlJc w:val="left"/>
      <w:pPr>
        <w:tabs>
          <w:tab w:val="num" w:pos="6480"/>
        </w:tabs>
        <w:ind w:left="6480" w:hanging="360"/>
      </w:pPr>
      <w:rPr>
        <w:rFonts w:ascii="Arial" w:hAnsi="Arial" w:hint="default"/>
      </w:rPr>
    </w:lvl>
  </w:abstractNum>
  <w:abstractNum w:abstractNumId="14">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F34BB4"/>
    <w:multiLevelType w:val="hybridMultilevel"/>
    <w:tmpl w:val="3ED86EDE"/>
    <w:lvl w:ilvl="0" w:tplc="08090005">
      <w:start w:val="1"/>
      <w:numFmt w:val="bullet"/>
      <w:lvlText w:val=""/>
      <w:lvlJc w:val="left"/>
      <w:pPr>
        <w:ind w:left="376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92544"/>
    <w:multiLevelType w:val="hybridMultilevel"/>
    <w:tmpl w:val="AAB688A0"/>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4F426F"/>
    <w:multiLevelType w:val="hybridMultilevel"/>
    <w:tmpl w:val="0062236A"/>
    <w:lvl w:ilvl="0" w:tplc="0054E02A">
      <w:start w:val="1"/>
      <w:numFmt w:val="bullet"/>
      <w:lvlText w:val="•"/>
      <w:lvlJc w:val="left"/>
      <w:pPr>
        <w:tabs>
          <w:tab w:val="num" w:pos="720"/>
        </w:tabs>
        <w:ind w:left="720" w:hanging="360"/>
      </w:pPr>
      <w:rPr>
        <w:rFonts w:ascii="Arial Unicode MS" w:hAnsi="Arial Unicode MS" w:hint="default"/>
      </w:rPr>
    </w:lvl>
    <w:lvl w:ilvl="1" w:tplc="4E7A2AA8" w:tentative="1">
      <w:start w:val="1"/>
      <w:numFmt w:val="bullet"/>
      <w:lvlText w:val="•"/>
      <w:lvlJc w:val="left"/>
      <w:pPr>
        <w:tabs>
          <w:tab w:val="num" w:pos="1440"/>
        </w:tabs>
        <w:ind w:left="1440" w:hanging="360"/>
      </w:pPr>
      <w:rPr>
        <w:rFonts w:ascii="Arial Unicode MS" w:hAnsi="Arial Unicode MS" w:hint="default"/>
      </w:rPr>
    </w:lvl>
    <w:lvl w:ilvl="2" w:tplc="FE0EE7BE">
      <w:start w:val="1"/>
      <w:numFmt w:val="bullet"/>
      <w:lvlText w:val="•"/>
      <w:lvlJc w:val="left"/>
      <w:pPr>
        <w:tabs>
          <w:tab w:val="num" w:pos="2160"/>
        </w:tabs>
        <w:ind w:left="2160" w:hanging="360"/>
      </w:pPr>
      <w:rPr>
        <w:rFonts w:ascii="Arial Unicode MS" w:hAnsi="Arial Unicode MS" w:hint="default"/>
      </w:rPr>
    </w:lvl>
    <w:lvl w:ilvl="3" w:tplc="EEA86882" w:tentative="1">
      <w:start w:val="1"/>
      <w:numFmt w:val="bullet"/>
      <w:lvlText w:val="•"/>
      <w:lvlJc w:val="left"/>
      <w:pPr>
        <w:tabs>
          <w:tab w:val="num" w:pos="2880"/>
        </w:tabs>
        <w:ind w:left="2880" w:hanging="360"/>
      </w:pPr>
      <w:rPr>
        <w:rFonts w:ascii="Arial Unicode MS" w:hAnsi="Arial Unicode MS" w:hint="default"/>
      </w:rPr>
    </w:lvl>
    <w:lvl w:ilvl="4" w:tplc="E24E763C" w:tentative="1">
      <w:start w:val="1"/>
      <w:numFmt w:val="bullet"/>
      <w:lvlText w:val="•"/>
      <w:lvlJc w:val="left"/>
      <w:pPr>
        <w:tabs>
          <w:tab w:val="num" w:pos="3600"/>
        </w:tabs>
        <w:ind w:left="3600" w:hanging="360"/>
      </w:pPr>
      <w:rPr>
        <w:rFonts w:ascii="Arial Unicode MS" w:hAnsi="Arial Unicode MS" w:hint="default"/>
      </w:rPr>
    </w:lvl>
    <w:lvl w:ilvl="5" w:tplc="5FACDA2C" w:tentative="1">
      <w:start w:val="1"/>
      <w:numFmt w:val="bullet"/>
      <w:lvlText w:val="•"/>
      <w:lvlJc w:val="left"/>
      <w:pPr>
        <w:tabs>
          <w:tab w:val="num" w:pos="4320"/>
        </w:tabs>
        <w:ind w:left="4320" w:hanging="360"/>
      </w:pPr>
      <w:rPr>
        <w:rFonts w:ascii="Arial Unicode MS" w:hAnsi="Arial Unicode MS" w:hint="default"/>
      </w:rPr>
    </w:lvl>
    <w:lvl w:ilvl="6" w:tplc="632C18F2" w:tentative="1">
      <w:start w:val="1"/>
      <w:numFmt w:val="bullet"/>
      <w:lvlText w:val="•"/>
      <w:lvlJc w:val="left"/>
      <w:pPr>
        <w:tabs>
          <w:tab w:val="num" w:pos="5040"/>
        </w:tabs>
        <w:ind w:left="5040" w:hanging="360"/>
      </w:pPr>
      <w:rPr>
        <w:rFonts w:ascii="Arial Unicode MS" w:hAnsi="Arial Unicode MS" w:hint="default"/>
      </w:rPr>
    </w:lvl>
    <w:lvl w:ilvl="7" w:tplc="6608B8E6" w:tentative="1">
      <w:start w:val="1"/>
      <w:numFmt w:val="bullet"/>
      <w:lvlText w:val="•"/>
      <w:lvlJc w:val="left"/>
      <w:pPr>
        <w:tabs>
          <w:tab w:val="num" w:pos="5760"/>
        </w:tabs>
        <w:ind w:left="5760" w:hanging="360"/>
      </w:pPr>
      <w:rPr>
        <w:rFonts w:ascii="Arial Unicode MS" w:hAnsi="Arial Unicode MS" w:hint="default"/>
      </w:rPr>
    </w:lvl>
    <w:lvl w:ilvl="8" w:tplc="EB96716E" w:tentative="1">
      <w:start w:val="1"/>
      <w:numFmt w:val="bullet"/>
      <w:lvlText w:val="•"/>
      <w:lvlJc w:val="left"/>
      <w:pPr>
        <w:tabs>
          <w:tab w:val="num" w:pos="6480"/>
        </w:tabs>
        <w:ind w:left="6480" w:hanging="360"/>
      </w:pPr>
      <w:rPr>
        <w:rFonts w:ascii="Arial Unicode MS" w:hAnsi="Arial Unicode MS" w:hint="default"/>
      </w:rPr>
    </w:lvl>
  </w:abstractNum>
  <w:abstractNum w:abstractNumId="19">
    <w:nsid w:val="4F250B5E"/>
    <w:multiLevelType w:val="hybridMultilevel"/>
    <w:tmpl w:val="7E02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6B0312"/>
    <w:multiLevelType w:val="hybridMultilevel"/>
    <w:tmpl w:val="1348152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1">
    <w:nsid w:val="4FC90821"/>
    <w:multiLevelType w:val="multilevel"/>
    <w:tmpl w:val="5F3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E1158E"/>
    <w:multiLevelType w:val="hybridMultilevel"/>
    <w:tmpl w:val="180CE8BA"/>
    <w:lvl w:ilvl="0" w:tplc="B0A8C158">
      <w:start w:val="1"/>
      <w:numFmt w:val="bullet"/>
      <w:lvlText w:val="•"/>
      <w:lvlJc w:val="left"/>
      <w:pPr>
        <w:tabs>
          <w:tab w:val="num" w:pos="649"/>
        </w:tabs>
        <w:ind w:left="649" w:hanging="479"/>
      </w:pPr>
      <w:rPr>
        <w:rFonts w:ascii="EYInterstate" w:hAnsi="EYInterstat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5675C"/>
    <w:multiLevelType w:val="hybridMultilevel"/>
    <w:tmpl w:val="F6941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7F3EB3"/>
    <w:multiLevelType w:val="hybridMultilevel"/>
    <w:tmpl w:val="0F3CC32E"/>
    <w:lvl w:ilvl="0" w:tplc="42368718">
      <w:start w:val="1"/>
      <w:numFmt w:val="bullet"/>
      <w:lvlText w:val="•"/>
      <w:lvlJc w:val="left"/>
      <w:pPr>
        <w:tabs>
          <w:tab w:val="num" w:pos="720"/>
        </w:tabs>
        <w:ind w:left="720" w:hanging="360"/>
      </w:pPr>
      <w:rPr>
        <w:rFonts w:ascii="Arial Unicode MS" w:hAnsi="Arial Unicode MS" w:hint="default"/>
      </w:rPr>
    </w:lvl>
    <w:lvl w:ilvl="1" w:tplc="375C4FA6" w:tentative="1">
      <w:start w:val="1"/>
      <w:numFmt w:val="bullet"/>
      <w:lvlText w:val="•"/>
      <w:lvlJc w:val="left"/>
      <w:pPr>
        <w:tabs>
          <w:tab w:val="num" w:pos="1440"/>
        </w:tabs>
        <w:ind w:left="1440" w:hanging="360"/>
      </w:pPr>
      <w:rPr>
        <w:rFonts w:ascii="Arial Unicode MS" w:hAnsi="Arial Unicode MS" w:hint="default"/>
      </w:rPr>
    </w:lvl>
    <w:lvl w:ilvl="2" w:tplc="E4B6AAA2">
      <w:start w:val="1"/>
      <w:numFmt w:val="bullet"/>
      <w:lvlText w:val="•"/>
      <w:lvlJc w:val="left"/>
      <w:pPr>
        <w:tabs>
          <w:tab w:val="num" w:pos="2160"/>
        </w:tabs>
        <w:ind w:left="2160" w:hanging="360"/>
      </w:pPr>
      <w:rPr>
        <w:rFonts w:ascii="Arial Unicode MS" w:hAnsi="Arial Unicode MS" w:hint="default"/>
      </w:rPr>
    </w:lvl>
    <w:lvl w:ilvl="3" w:tplc="89C4C2B6" w:tentative="1">
      <w:start w:val="1"/>
      <w:numFmt w:val="bullet"/>
      <w:lvlText w:val="•"/>
      <w:lvlJc w:val="left"/>
      <w:pPr>
        <w:tabs>
          <w:tab w:val="num" w:pos="2880"/>
        </w:tabs>
        <w:ind w:left="2880" w:hanging="360"/>
      </w:pPr>
      <w:rPr>
        <w:rFonts w:ascii="Arial Unicode MS" w:hAnsi="Arial Unicode MS" w:hint="default"/>
      </w:rPr>
    </w:lvl>
    <w:lvl w:ilvl="4" w:tplc="737E15FC" w:tentative="1">
      <w:start w:val="1"/>
      <w:numFmt w:val="bullet"/>
      <w:lvlText w:val="•"/>
      <w:lvlJc w:val="left"/>
      <w:pPr>
        <w:tabs>
          <w:tab w:val="num" w:pos="3600"/>
        </w:tabs>
        <w:ind w:left="3600" w:hanging="360"/>
      </w:pPr>
      <w:rPr>
        <w:rFonts w:ascii="Arial Unicode MS" w:hAnsi="Arial Unicode MS" w:hint="default"/>
      </w:rPr>
    </w:lvl>
    <w:lvl w:ilvl="5" w:tplc="B0C27772" w:tentative="1">
      <w:start w:val="1"/>
      <w:numFmt w:val="bullet"/>
      <w:lvlText w:val="•"/>
      <w:lvlJc w:val="left"/>
      <w:pPr>
        <w:tabs>
          <w:tab w:val="num" w:pos="4320"/>
        </w:tabs>
        <w:ind w:left="4320" w:hanging="360"/>
      </w:pPr>
      <w:rPr>
        <w:rFonts w:ascii="Arial Unicode MS" w:hAnsi="Arial Unicode MS" w:hint="default"/>
      </w:rPr>
    </w:lvl>
    <w:lvl w:ilvl="6" w:tplc="B6FC6936" w:tentative="1">
      <w:start w:val="1"/>
      <w:numFmt w:val="bullet"/>
      <w:lvlText w:val="•"/>
      <w:lvlJc w:val="left"/>
      <w:pPr>
        <w:tabs>
          <w:tab w:val="num" w:pos="5040"/>
        </w:tabs>
        <w:ind w:left="5040" w:hanging="360"/>
      </w:pPr>
      <w:rPr>
        <w:rFonts w:ascii="Arial Unicode MS" w:hAnsi="Arial Unicode MS" w:hint="default"/>
      </w:rPr>
    </w:lvl>
    <w:lvl w:ilvl="7" w:tplc="957ADDEC" w:tentative="1">
      <w:start w:val="1"/>
      <w:numFmt w:val="bullet"/>
      <w:lvlText w:val="•"/>
      <w:lvlJc w:val="left"/>
      <w:pPr>
        <w:tabs>
          <w:tab w:val="num" w:pos="5760"/>
        </w:tabs>
        <w:ind w:left="5760" w:hanging="360"/>
      </w:pPr>
      <w:rPr>
        <w:rFonts w:ascii="Arial Unicode MS" w:hAnsi="Arial Unicode MS" w:hint="default"/>
      </w:rPr>
    </w:lvl>
    <w:lvl w:ilvl="8" w:tplc="635E7CB4" w:tentative="1">
      <w:start w:val="1"/>
      <w:numFmt w:val="bullet"/>
      <w:lvlText w:val="•"/>
      <w:lvlJc w:val="left"/>
      <w:pPr>
        <w:tabs>
          <w:tab w:val="num" w:pos="6480"/>
        </w:tabs>
        <w:ind w:left="6480" w:hanging="360"/>
      </w:pPr>
      <w:rPr>
        <w:rFonts w:ascii="Arial Unicode MS" w:hAnsi="Arial Unicode MS" w:hint="default"/>
      </w:rPr>
    </w:lvl>
  </w:abstractNum>
  <w:abstractNum w:abstractNumId="25">
    <w:nsid w:val="7340416E"/>
    <w:multiLevelType w:val="hybridMultilevel"/>
    <w:tmpl w:val="CA44475A"/>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F8314C"/>
    <w:multiLevelType w:val="hybridMultilevel"/>
    <w:tmpl w:val="AB9C0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05F72"/>
    <w:multiLevelType w:val="hybridMultilevel"/>
    <w:tmpl w:val="B6DE0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177F0F"/>
    <w:multiLevelType w:val="hybridMultilevel"/>
    <w:tmpl w:val="47FCDFEC"/>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A22E4E"/>
    <w:multiLevelType w:val="hybridMultilevel"/>
    <w:tmpl w:val="F55086D2"/>
    <w:lvl w:ilvl="0" w:tplc="B4489C52">
      <w:start w:val="1"/>
      <w:numFmt w:val="bullet"/>
      <w:lvlText w:val="►"/>
      <w:lvlJc w:val="left"/>
      <w:pPr>
        <w:tabs>
          <w:tab w:val="num" w:pos="720"/>
        </w:tabs>
        <w:ind w:left="720" w:hanging="360"/>
      </w:pPr>
      <w:rPr>
        <w:rFonts w:ascii="Arial" w:hAnsi="Arial" w:hint="default"/>
      </w:rPr>
    </w:lvl>
    <w:lvl w:ilvl="1" w:tplc="7144BB84" w:tentative="1">
      <w:start w:val="1"/>
      <w:numFmt w:val="bullet"/>
      <w:lvlText w:val="►"/>
      <w:lvlJc w:val="left"/>
      <w:pPr>
        <w:tabs>
          <w:tab w:val="num" w:pos="1440"/>
        </w:tabs>
        <w:ind w:left="1440" w:hanging="360"/>
      </w:pPr>
      <w:rPr>
        <w:rFonts w:ascii="Arial" w:hAnsi="Arial" w:hint="default"/>
      </w:rPr>
    </w:lvl>
    <w:lvl w:ilvl="2" w:tplc="32F66426" w:tentative="1">
      <w:start w:val="1"/>
      <w:numFmt w:val="bullet"/>
      <w:lvlText w:val="►"/>
      <w:lvlJc w:val="left"/>
      <w:pPr>
        <w:tabs>
          <w:tab w:val="num" w:pos="2160"/>
        </w:tabs>
        <w:ind w:left="2160" w:hanging="360"/>
      </w:pPr>
      <w:rPr>
        <w:rFonts w:ascii="Arial" w:hAnsi="Arial" w:hint="default"/>
      </w:rPr>
    </w:lvl>
    <w:lvl w:ilvl="3" w:tplc="8B6E5AF4" w:tentative="1">
      <w:start w:val="1"/>
      <w:numFmt w:val="bullet"/>
      <w:lvlText w:val="►"/>
      <w:lvlJc w:val="left"/>
      <w:pPr>
        <w:tabs>
          <w:tab w:val="num" w:pos="2880"/>
        </w:tabs>
        <w:ind w:left="2880" w:hanging="360"/>
      </w:pPr>
      <w:rPr>
        <w:rFonts w:ascii="Arial" w:hAnsi="Arial" w:hint="default"/>
      </w:rPr>
    </w:lvl>
    <w:lvl w:ilvl="4" w:tplc="C68A1B2E" w:tentative="1">
      <w:start w:val="1"/>
      <w:numFmt w:val="bullet"/>
      <w:lvlText w:val="►"/>
      <w:lvlJc w:val="left"/>
      <w:pPr>
        <w:tabs>
          <w:tab w:val="num" w:pos="3600"/>
        </w:tabs>
        <w:ind w:left="3600" w:hanging="360"/>
      </w:pPr>
      <w:rPr>
        <w:rFonts w:ascii="Arial" w:hAnsi="Arial" w:hint="default"/>
      </w:rPr>
    </w:lvl>
    <w:lvl w:ilvl="5" w:tplc="10FAB592" w:tentative="1">
      <w:start w:val="1"/>
      <w:numFmt w:val="bullet"/>
      <w:lvlText w:val="►"/>
      <w:lvlJc w:val="left"/>
      <w:pPr>
        <w:tabs>
          <w:tab w:val="num" w:pos="4320"/>
        </w:tabs>
        <w:ind w:left="4320" w:hanging="360"/>
      </w:pPr>
      <w:rPr>
        <w:rFonts w:ascii="Arial" w:hAnsi="Arial" w:hint="default"/>
      </w:rPr>
    </w:lvl>
    <w:lvl w:ilvl="6" w:tplc="588EBB44" w:tentative="1">
      <w:start w:val="1"/>
      <w:numFmt w:val="bullet"/>
      <w:lvlText w:val="►"/>
      <w:lvlJc w:val="left"/>
      <w:pPr>
        <w:tabs>
          <w:tab w:val="num" w:pos="5040"/>
        </w:tabs>
        <w:ind w:left="5040" w:hanging="360"/>
      </w:pPr>
      <w:rPr>
        <w:rFonts w:ascii="Arial" w:hAnsi="Arial" w:hint="default"/>
      </w:rPr>
    </w:lvl>
    <w:lvl w:ilvl="7" w:tplc="BE5452E6" w:tentative="1">
      <w:start w:val="1"/>
      <w:numFmt w:val="bullet"/>
      <w:lvlText w:val="►"/>
      <w:lvlJc w:val="left"/>
      <w:pPr>
        <w:tabs>
          <w:tab w:val="num" w:pos="5760"/>
        </w:tabs>
        <w:ind w:left="5760" w:hanging="360"/>
      </w:pPr>
      <w:rPr>
        <w:rFonts w:ascii="Arial" w:hAnsi="Arial" w:hint="default"/>
      </w:rPr>
    </w:lvl>
    <w:lvl w:ilvl="8" w:tplc="BB9A8EAE"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4"/>
  </w:num>
  <w:num w:numId="3">
    <w:abstractNumId w:val="21"/>
  </w:num>
  <w:num w:numId="4">
    <w:abstractNumId w:val="18"/>
  </w:num>
  <w:num w:numId="5">
    <w:abstractNumId w:val="2"/>
  </w:num>
  <w:num w:numId="6">
    <w:abstractNumId w:val="24"/>
  </w:num>
  <w:num w:numId="7">
    <w:abstractNumId w:val="10"/>
  </w:num>
  <w:num w:numId="8">
    <w:abstractNumId w:val="8"/>
  </w:num>
  <w:num w:numId="9">
    <w:abstractNumId w:val="27"/>
  </w:num>
  <w:num w:numId="10">
    <w:abstractNumId w:val="12"/>
  </w:num>
  <w:num w:numId="11">
    <w:abstractNumId w:val="22"/>
  </w:num>
  <w:num w:numId="12">
    <w:abstractNumId w:val="11"/>
  </w:num>
  <w:num w:numId="13">
    <w:abstractNumId w:val="25"/>
  </w:num>
  <w:num w:numId="14">
    <w:abstractNumId w:val="23"/>
  </w:num>
  <w:num w:numId="15">
    <w:abstractNumId w:val="17"/>
  </w:num>
  <w:num w:numId="16">
    <w:abstractNumId w:val="28"/>
  </w:num>
  <w:num w:numId="17">
    <w:abstractNumId w:val="6"/>
  </w:num>
  <w:num w:numId="18">
    <w:abstractNumId w:val="19"/>
  </w:num>
  <w:num w:numId="19">
    <w:abstractNumId w:val="9"/>
  </w:num>
  <w:num w:numId="20">
    <w:abstractNumId w:val="20"/>
  </w:num>
  <w:num w:numId="21">
    <w:abstractNumId w:val="5"/>
  </w:num>
  <w:num w:numId="22">
    <w:abstractNumId w:val="3"/>
  </w:num>
  <w:num w:numId="23">
    <w:abstractNumId w:val="30"/>
  </w:num>
  <w:num w:numId="24">
    <w:abstractNumId w:val="13"/>
  </w:num>
  <w:num w:numId="25">
    <w:abstractNumId w:val="1"/>
  </w:num>
  <w:num w:numId="26">
    <w:abstractNumId w:val="0"/>
  </w:num>
  <w:num w:numId="27">
    <w:abstractNumId w:val="7"/>
  </w:num>
  <w:num w:numId="28">
    <w:abstractNumId w:val="0"/>
    <w:lvlOverride w:ilvl="0">
      <w:startOverride w:val="1"/>
    </w:lvlOverride>
  </w:num>
  <w:num w:numId="29">
    <w:abstractNumId w:val="26"/>
  </w:num>
  <w:num w:numId="30">
    <w:abstractNumId w:val="16"/>
  </w:num>
  <w:num w:numId="31">
    <w:abstractNumId w:val="4"/>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83139"/>
    <w:rsid w:val="00017970"/>
    <w:rsid w:val="0002225A"/>
    <w:rsid w:val="0002414B"/>
    <w:rsid w:val="000303F6"/>
    <w:rsid w:val="00040AED"/>
    <w:rsid w:val="00041F21"/>
    <w:rsid w:val="0005791A"/>
    <w:rsid w:val="000718D0"/>
    <w:rsid w:val="000768F2"/>
    <w:rsid w:val="00076D3C"/>
    <w:rsid w:val="000779CE"/>
    <w:rsid w:val="0008355B"/>
    <w:rsid w:val="00086210"/>
    <w:rsid w:val="00090301"/>
    <w:rsid w:val="000A24D1"/>
    <w:rsid w:val="000B3E00"/>
    <w:rsid w:val="000C7129"/>
    <w:rsid w:val="000D7EFF"/>
    <w:rsid w:val="000E1CCF"/>
    <w:rsid w:val="000E4B54"/>
    <w:rsid w:val="000F0584"/>
    <w:rsid w:val="000F460F"/>
    <w:rsid w:val="0010019F"/>
    <w:rsid w:val="0010602A"/>
    <w:rsid w:val="00121CA6"/>
    <w:rsid w:val="0013013D"/>
    <w:rsid w:val="00131324"/>
    <w:rsid w:val="00133E72"/>
    <w:rsid w:val="00135D14"/>
    <w:rsid w:val="00140332"/>
    <w:rsid w:val="001579E8"/>
    <w:rsid w:val="00167977"/>
    <w:rsid w:val="00175B47"/>
    <w:rsid w:val="00176375"/>
    <w:rsid w:val="0018088F"/>
    <w:rsid w:val="00196940"/>
    <w:rsid w:val="001977A5"/>
    <w:rsid w:val="001A4151"/>
    <w:rsid w:val="001A5FEF"/>
    <w:rsid w:val="001B0BE0"/>
    <w:rsid w:val="001D44D0"/>
    <w:rsid w:val="001E320D"/>
    <w:rsid w:val="001E59F8"/>
    <w:rsid w:val="001E7A15"/>
    <w:rsid w:val="001F0A87"/>
    <w:rsid w:val="001F2DBB"/>
    <w:rsid w:val="001F559F"/>
    <w:rsid w:val="00204534"/>
    <w:rsid w:val="00206326"/>
    <w:rsid w:val="00211378"/>
    <w:rsid w:val="0021383A"/>
    <w:rsid w:val="00214494"/>
    <w:rsid w:val="0021617E"/>
    <w:rsid w:val="00217C9B"/>
    <w:rsid w:val="00225A2E"/>
    <w:rsid w:val="00240CFE"/>
    <w:rsid w:val="0024581F"/>
    <w:rsid w:val="00247A21"/>
    <w:rsid w:val="00252AAB"/>
    <w:rsid w:val="00260789"/>
    <w:rsid w:val="0026386A"/>
    <w:rsid w:val="00270C72"/>
    <w:rsid w:val="00273915"/>
    <w:rsid w:val="00283139"/>
    <w:rsid w:val="00287B8E"/>
    <w:rsid w:val="00292721"/>
    <w:rsid w:val="002A4661"/>
    <w:rsid w:val="002A569A"/>
    <w:rsid w:val="002A7E9B"/>
    <w:rsid w:val="002B34B9"/>
    <w:rsid w:val="002C3667"/>
    <w:rsid w:val="002D5243"/>
    <w:rsid w:val="002D53EC"/>
    <w:rsid w:val="002F3AFA"/>
    <w:rsid w:val="00313DCD"/>
    <w:rsid w:val="00315728"/>
    <w:rsid w:val="00317723"/>
    <w:rsid w:val="003229A7"/>
    <w:rsid w:val="0032341F"/>
    <w:rsid w:val="003249AD"/>
    <w:rsid w:val="0032686D"/>
    <w:rsid w:val="003444BE"/>
    <w:rsid w:val="00351FA2"/>
    <w:rsid w:val="00353BDA"/>
    <w:rsid w:val="003550E3"/>
    <w:rsid w:val="003573C1"/>
    <w:rsid w:val="00363CDC"/>
    <w:rsid w:val="00383E36"/>
    <w:rsid w:val="003849DD"/>
    <w:rsid w:val="00385EDF"/>
    <w:rsid w:val="003A5D3D"/>
    <w:rsid w:val="003C5B15"/>
    <w:rsid w:val="003D7BE1"/>
    <w:rsid w:val="003E5F17"/>
    <w:rsid w:val="003F1030"/>
    <w:rsid w:val="003F33BC"/>
    <w:rsid w:val="003F5688"/>
    <w:rsid w:val="00402D0E"/>
    <w:rsid w:val="00403570"/>
    <w:rsid w:val="004117D3"/>
    <w:rsid w:val="00431DC8"/>
    <w:rsid w:val="004334FD"/>
    <w:rsid w:val="00433738"/>
    <w:rsid w:val="00435576"/>
    <w:rsid w:val="00454625"/>
    <w:rsid w:val="00461308"/>
    <w:rsid w:val="00461EB8"/>
    <w:rsid w:val="0046466F"/>
    <w:rsid w:val="004656E2"/>
    <w:rsid w:val="00465D92"/>
    <w:rsid w:val="00467D3E"/>
    <w:rsid w:val="00476487"/>
    <w:rsid w:val="0048443E"/>
    <w:rsid w:val="00491815"/>
    <w:rsid w:val="00492A55"/>
    <w:rsid w:val="0049777F"/>
    <w:rsid w:val="004A0392"/>
    <w:rsid w:val="004A45DC"/>
    <w:rsid w:val="004D4E91"/>
    <w:rsid w:val="004F1127"/>
    <w:rsid w:val="004F289D"/>
    <w:rsid w:val="00502993"/>
    <w:rsid w:val="00507B22"/>
    <w:rsid w:val="005164CE"/>
    <w:rsid w:val="00525D1B"/>
    <w:rsid w:val="005333F4"/>
    <w:rsid w:val="00533EBD"/>
    <w:rsid w:val="00534AC9"/>
    <w:rsid w:val="00537197"/>
    <w:rsid w:val="005400E3"/>
    <w:rsid w:val="00543017"/>
    <w:rsid w:val="00545987"/>
    <w:rsid w:val="00545C9C"/>
    <w:rsid w:val="00564935"/>
    <w:rsid w:val="00570BAB"/>
    <w:rsid w:val="005738A5"/>
    <w:rsid w:val="005748D0"/>
    <w:rsid w:val="0059177E"/>
    <w:rsid w:val="005B1052"/>
    <w:rsid w:val="005B3DB7"/>
    <w:rsid w:val="005B5E1B"/>
    <w:rsid w:val="005B79FF"/>
    <w:rsid w:val="005D176E"/>
    <w:rsid w:val="005D6E64"/>
    <w:rsid w:val="005D7E4C"/>
    <w:rsid w:val="005E7446"/>
    <w:rsid w:val="005F5242"/>
    <w:rsid w:val="0060061E"/>
    <w:rsid w:val="006133FF"/>
    <w:rsid w:val="00616207"/>
    <w:rsid w:val="00620FE6"/>
    <w:rsid w:val="006222F6"/>
    <w:rsid w:val="006226A2"/>
    <w:rsid w:val="006264A6"/>
    <w:rsid w:val="006328F4"/>
    <w:rsid w:val="00635977"/>
    <w:rsid w:val="00641F1F"/>
    <w:rsid w:val="00646644"/>
    <w:rsid w:val="0065681C"/>
    <w:rsid w:val="00657BF3"/>
    <w:rsid w:val="00661F6E"/>
    <w:rsid w:val="00666777"/>
    <w:rsid w:val="00671DC7"/>
    <w:rsid w:val="00695547"/>
    <w:rsid w:val="006A5924"/>
    <w:rsid w:val="006A7032"/>
    <w:rsid w:val="006B1AB5"/>
    <w:rsid w:val="006B4998"/>
    <w:rsid w:val="006B7016"/>
    <w:rsid w:val="006C35E9"/>
    <w:rsid w:val="006D40A9"/>
    <w:rsid w:val="006F43FA"/>
    <w:rsid w:val="006F5C46"/>
    <w:rsid w:val="00704B38"/>
    <w:rsid w:val="00706083"/>
    <w:rsid w:val="00714D39"/>
    <w:rsid w:val="007158E6"/>
    <w:rsid w:val="0072003D"/>
    <w:rsid w:val="007205B4"/>
    <w:rsid w:val="00720934"/>
    <w:rsid w:val="00721AB1"/>
    <w:rsid w:val="007231DA"/>
    <w:rsid w:val="0074131F"/>
    <w:rsid w:val="007536BC"/>
    <w:rsid w:val="00756BBC"/>
    <w:rsid w:val="00764CB9"/>
    <w:rsid w:val="007744FF"/>
    <w:rsid w:val="00793933"/>
    <w:rsid w:val="00793E72"/>
    <w:rsid w:val="00795ECE"/>
    <w:rsid w:val="007A7D65"/>
    <w:rsid w:val="007B29B6"/>
    <w:rsid w:val="007C0696"/>
    <w:rsid w:val="007C3D93"/>
    <w:rsid w:val="007C5808"/>
    <w:rsid w:val="007E7F29"/>
    <w:rsid w:val="007F5868"/>
    <w:rsid w:val="007F7ABE"/>
    <w:rsid w:val="00803046"/>
    <w:rsid w:val="00822065"/>
    <w:rsid w:val="00823B75"/>
    <w:rsid w:val="00826F3E"/>
    <w:rsid w:val="00833874"/>
    <w:rsid w:val="0084772D"/>
    <w:rsid w:val="00847DB1"/>
    <w:rsid w:val="00850053"/>
    <w:rsid w:val="00853D53"/>
    <w:rsid w:val="008731A7"/>
    <w:rsid w:val="00875B87"/>
    <w:rsid w:val="00886158"/>
    <w:rsid w:val="00890251"/>
    <w:rsid w:val="008A4181"/>
    <w:rsid w:val="008A4CBA"/>
    <w:rsid w:val="008B4D3E"/>
    <w:rsid w:val="008B5CB4"/>
    <w:rsid w:val="008C3208"/>
    <w:rsid w:val="008C6E85"/>
    <w:rsid w:val="008D0C9A"/>
    <w:rsid w:val="008D48DB"/>
    <w:rsid w:val="008E7A6A"/>
    <w:rsid w:val="008F2A99"/>
    <w:rsid w:val="00904BFA"/>
    <w:rsid w:val="00911B6E"/>
    <w:rsid w:val="00913206"/>
    <w:rsid w:val="00924153"/>
    <w:rsid w:val="00925915"/>
    <w:rsid w:val="00926FB6"/>
    <w:rsid w:val="00930A00"/>
    <w:rsid w:val="00941425"/>
    <w:rsid w:val="00954965"/>
    <w:rsid w:val="00963A78"/>
    <w:rsid w:val="00967F43"/>
    <w:rsid w:val="00971242"/>
    <w:rsid w:val="00982C79"/>
    <w:rsid w:val="009838E5"/>
    <w:rsid w:val="009865CA"/>
    <w:rsid w:val="00991970"/>
    <w:rsid w:val="00996815"/>
    <w:rsid w:val="009B7798"/>
    <w:rsid w:val="009C1752"/>
    <w:rsid w:val="009C6CBC"/>
    <w:rsid w:val="009D1537"/>
    <w:rsid w:val="009D7645"/>
    <w:rsid w:val="009E5A29"/>
    <w:rsid w:val="009E6B40"/>
    <w:rsid w:val="009F7CA8"/>
    <w:rsid w:val="00A22732"/>
    <w:rsid w:val="00A430F9"/>
    <w:rsid w:val="00A507C2"/>
    <w:rsid w:val="00A51765"/>
    <w:rsid w:val="00A7166B"/>
    <w:rsid w:val="00A843E6"/>
    <w:rsid w:val="00A92EC1"/>
    <w:rsid w:val="00A93EC7"/>
    <w:rsid w:val="00A94FA1"/>
    <w:rsid w:val="00AA3AB9"/>
    <w:rsid w:val="00AA61F3"/>
    <w:rsid w:val="00AB08FE"/>
    <w:rsid w:val="00AB0C81"/>
    <w:rsid w:val="00AB13A7"/>
    <w:rsid w:val="00AB36D8"/>
    <w:rsid w:val="00AB5278"/>
    <w:rsid w:val="00AC077B"/>
    <w:rsid w:val="00AC522A"/>
    <w:rsid w:val="00AC62B8"/>
    <w:rsid w:val="00AD3E68"/>
    <w:rsid w:val="00AD7386"/>
    <w:rsid w:val="00AE1B96"/>
    <w:rsid w:val="00AF4172"/>
    <w:rsid w:val="00B1371E"/>
    <w:rsid w:val="00B13B05"/>
    <w:rsid w:val="00B15708"/>
    <w:rsid w:val="00B20F20"/>
    <w:rsid w:val="00B31ED8"/>
    <w:rsid w:val="00B32E59"/>
    <w:rsid w:val="00B33761"/>
    <w:rsid w:val="00B371D6"/>
    <w:rsid w:val="00B400E6"/>
    <w:rsid w:val="00B45869"/>
    <w:rsid w:val="00B46082"/>
    <w:rsid w:val="00B5424D"/>
    <w:rsid w:val="00B60518"/>
    <w:rsid w:val="00B673DF"/>
    <w:rsid w:val="00B749CD"/>
    <w:rsid w:val="00B830E8"/>
    <w:rsid w:val="00B958A7"/>
    <w:rsid w:val="00B958FE"/>
    <w:rsid w:val="00BA2300"/>
    <w:rsid w:val="00BB5D30"/>
    <w:rsid w:val="00BC361A"/>
    <w:rsid w:val="00BC755E"/>
    <w:rsid w:val="00BE08FC"/>
    <w:rsid w:val="00BE1B64"/>
    <w:rsid w:val="00BE77C3"/>
    <w:rsid w:val="00BF238F"/>
    <w:rsid w:val="00C0168C"/>
    <w:rsid w:val="00C016D7"/>
    <w:rsid w:val="00C02000"/>
    <w:rsid w:val="00C03464"/>
    <w:rsid w:val="00C036A2"/>
    <w:rsid w:val="00C04412"/>
    <w:rsid w:val="00C07B33"/>
    <w:rsid w:val="00C126FE"/>
    <w:rsid w:val="00C26857"/>
    <w:rsid w:val="00C332BE"/>
    <w:rsid w:val="00C3490F"/>
    <w:rsid w:val="00C40F60"/>
    <w:rsid w:val="00C4135B"/>
    <w:rsid w:val="00C42799"/>
    <w:rsid w:val="00C56487"/>
    <w:rsid w:val="00C60E36"/>
    <w:rsid w:val="00C637FC"/>
    <w:rsid w:val="00C66244"/>
    <w:rsid w:val="00C675A4"/>
    <w:rsid w:val="00C77A0E"/>
    <w:rsid w:val="00C820E8"/>
    <w:rsid w:val="00C90183"/>
    <w:rsid w:val="00C90AF1"/>
    <w:rsid w:val="00C97736"/>
    <w:rsid w:val="00CA06C2"/>
    <w:rsid w:val="00CA10D1"/>
    <w:rsid w:val="00CA4511"/>
    <w:rsid w:val="00CA7C38"/>
    <w:rsid w:val="00CB176B"/>
    <w:rsid w:val="00CB2C16"/>
    <w:rsid w:val="00CC1D36"/>
    <w:rsid w:val="00CC5416"/>
    <w:rsid w:val="00CD32B9"/>
    <w:rsid w:val="00CD50E8"/>
    <w:rsid w:val="00CE3CC4"/>
    <w:rsid w:val="00CE43E4"/>
    <w:rsid w:val="00CE6B99"/>
    <w:rsid w:val="00CF648B"/>
    <w:rsid w:val="00D006B8"/>
    <w:rsid w:val="00D00D03"/>
    <w:rsid w:val="00D0559A"/>
    <w:rsid w:val="00D21498"/>
    <w:rsid w:val="00D22A88"/>
    <w:rsid w:val="00D26EDB"/>
    <w:rsid w:val="00D35930"/>
    <w:rsid w:val="00D37E8D"/>
    <w:rsid w:val="00D43464"/>
    <w:rsid w:val="00D45325"/>
    <w:rsid w:val="00D45817"/>
    <w:rsid w:val="00D54360"/>
    <w:rsid w:val="00D57D22"/>
    <w:rsid w:val="00D64E34"/>
    <w:rsid w:val="00D668B8"/>
    <w:rsid w:val="00D675E9"/>
    <w:rsid w:val="00D67CE3"/>
    <w:rsid w:val="00D70461"/>
    <w:rsid w:val="00D72CDB"/>
    <w:rsid w:val="00D80398"/>
    <w:rsid w:val="00D86110"/>
    <w:rsid w:val="00D97C7B"/>
    <w:rsid w:val="00DA005E"/>
    <w:rsid w:val="00DA1B48"/>
    <w:rsid w:val="00DA219B"/>
    <w:rsid w:val="00DB22CA"/>
    <w:rsid w:val="00DB2CD0"/>
    <w:rsid w:val="00DC4D7C"/>
    <w:rsid w:val="00DC7520"/>
    <w:rsid w:val="00DD200D"/>
    <w:rsid w:val="00DF0785"/>
    <w:rsid w:val="00DF317F"/>
    <w:rsid w:val="00DF3771"/>
    <w:rsid w:val="00DF3E60"/>
    <w:rsid w:val="00E0593C"/>
    <w:rsid w:val="00E15B9B"/>
    <w:rsid w:val="00E16959"/>
    <w:rsid w:val="00E225CB"/>
    <w:rsid w:val="00E54D4C"/>
    <w:rsid w:val="00E657F3"/>
    <w:rsid w:val="00E72182"/>
    <w:rsid w:val="00E962C4"/>
    <w:rsid w:val="00EA1101"/>
    <w:rsid w:val="00EA47FA"/>
    <w:rsid w:val="00EC6C4E"/>
    <w:rsid w:val="00ED25FD"/>
    <w:rsid w:val="00ED3F64"/>
    <w:rsid w:val="00EE231D"/>
    <w:rsid w:val="00F03C31"/>
    <w:rsid w:val="00F11CFF"/>
    <w:rsid w:val="00F15DD7"/>
    <w:rsid w:val="00F3419C"/>
    <w:rsid w:val="00F35A71"/>
    <w:rsid w:val="00F63F61"/>
    <w:rsid w:val="00F735B2"/>
    <w:rsid w:val="00F75849"/>
    <w:rsid w:val="00F75951"/>
    <w:rsid w:val="00F87B13"/>
    <w:rsid w:val="00F96BF3"/>
    <w:rsid w:val="00FD6A7A"/>
    <w:rsid w:val="00FD6F02"/>
    <w:rsid w:val="00FE2EE4"/>
    <w:rsid w:val="00FE400D"/>
    <w:rsid w:val="00FE5908"/>
    <w:rsid w:val="00FF70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6D8"/>
    <w:rPr>
      <w:sz w:val="24"/>
      <w:szCs w:val="24"/>
      <w:lang w:eastAsia="en-US"/>
    </w:rPr>
  </w:style>
  <w:style w:type="paragraph" w:styleId="Heading2">
    <w:name w:val="heading 2"/>
    <w:basedOn w:val="Normal"/>
    <w:qFormat/>
    <w:rsid w:val="00AB36D8"/>
    <w:pPr>
      <w:spacing w:before="100" w:beforeAutospacing="1" w:after="100" w:afterAutospacing="1"/>
      <w:outlineLvl w:val="1"/>
    </w:pPr>
    <w:rPr>
      <w:b/>
      <w:bCs/>
      <w:color w:val="000000"/>
      <w:sz w:val="36"/>
      <w:szCs w:val="36"/>
      <w:lang w:eastAsia="cs-CZ"/>
    </w:rPr>
  </w:style>
  <w:style w:type="paragraph" w:styleId="Heading3">
    <w:name w:val="heading 3"/>
    <w:basedOn w:val="Normal"/>
    <w:next w:val="Normal"/>
    <w:link w:val="Heading3Char"/>
    <w:semiHidden/>
    <w:unhideWhenUsed/>
    <w:qFormat/>
    <w:rsid w:val="008D0C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36D8"/>
    <w:pPr>
      <w:tabs>
        <w:tab w:val="center" w:pos="4320"/>
        <w:tab w:val="right" w:pos="8640"/>
      </w:tabs>
    </w:pPr>
  </w:style>
  <w:style w:type="paragraph" w:styleId="Footer">
    <w:name w:val="footer"/>
    <w:basedOn w:val="Normal"/>
    <w:rsid w:val="00AB36D8"/>
    <w:pPr>
      <w:tabs>
        <w:tab w:val="center" w:pos="4320"/>
        <w:tab w:val="right" w:pos="8640"/>
      </w:tabs>
    </w:pPr>
  </w:style>
  <w:style w:type="paragraph" w:customStyle="1" w:styleId="CharCharCharCharCharChar">
    <w:name w:val="Char Char Char Char Char Char"/>
    <w:basedOn w:val="Normal"/>
    <w:rsid w:val="00AB36D8"/>
    <w:pPr>
      <w:spacing w:after="160" w:line="240" w:lineRule="exact"/>
    </w:pPr>
    <w:rPr>
      <w:rFonts w:ascii="Verdana" w:hAnsi="Verdana"/>
      <w:lang w:val="en-US"/>
    </w:rPr>
  </w:style>
  <w:style w:type="paragraph" w:customStyle="1" w:styleId="EYNormal">
    <w:name w:val="EY Normal"/>
    <w:link w:val="EYNormalChar"/>
    <w:uiPriority w:val="99"/>
    <w:rsid w:val="00AB36D8"/>
    <w:pPr>
      <w:suppressAutoHyphens/>
    </w:pPr>
    <w:rPr>
      <w:rFonts w:ascii="Arial" w:hAnsi="Arial"/>
      <w:kern w:val="12"/>
      <w:sz w:val="11"/>
      <w:szCs w:val="24"/>
      <w:lang w:val="en-GB" w:eastAsia="en-US"/>
    </w:rPr>
  </w:style>
  <w:style w:type="paragraph" w:customStyle="1" w:styleId="EYBodytextsolid">
    <w:name w:val="EY Body text (solid)"/>
    <w:basedOn w:val="EYNormal"/>
    <w:rsid w:val="00AB36D8"/>
    <w:pPr>
      <w:tabs>
        <w:tab w:val="left" w:pos="907"/>
      </w:tabs>
      <w:spacing w:line="520" w:lineRule="atLeast"/>
    </w:pPr>
    <w:rPr>
      <w:sz w:val="22"/>
    </w:rPr>
  </w:style>
  <w:style w:type="paragraph" w:customStyle="1" w:styleId="EYBoldsubjectheading">
    <w:name w:val="EY Bold subject heading"/>
    <w:basedOn w:val="EYNormal"/>
    <w:rsid w:val="00AB36D8"/>
    <w:pPr>
      <w:spacing w:before="480" w:line="260" w:lineRule="atLeast"/>
    </w:pPr>
    <w:rPr>
      <w:b/>
      <w:sz w:val="26"/>
    </w:rPr>
  </w:style>
  <w:style w:type="paragraph" w:customStyle="1" w:styleId="EYFooterinfo">
    <w:name w:val="EY Footer info"/>
    <w:basedOn w:val="EYNormal"/>
    <w:rsid w:val="00AB36D8"/>
    <w:rPr>
      <w:color w:val="666666"/>
    </w:rPr>
  </w:style>
  <w:style w:type="paragraph" w:customStyle="1" w:styleId="EYDocumentpromptsbold">
    <w:name w:val="EY Document prompts (bold)"/>
    <w:basedOn w:val="EYDocumentprompts"/>
    <w:rsid w:val="00AB36D8"/>
    <w:rPr>
      <w:rFonts w:ascii="Arial Bold" w:hAnsi="Arial Bold"/>
      <w:b/>
    </w:rPr>
  </w:style>
  <w:style w:type="paragraph" w:customStyle="1" w:styleId="EYContinuationheader">
    <w:name w:val="EY Continuation header"/>
    <w:basedOn w:val="EYBodytextsolid"/>
    <w:rsid w:val="00AB36D8"/>
    <w:pPr>
      <w:tabs>
        <w:tab w:val="clear" w:pos="907"/>
        <w:tab w:val="left" w:pos="2495"/>
      </w:tabs>
      <w:spacing w:line="260" w:lineRule="atLeast"/>
    </w:pPr>
  </w:style>
  <w:style w:type="paragraph" w:customStyle="1" w:styleId="EYBusinessaddress">
    <w:name w:val="EY Business address"/>
    <w:basedOn w:val="EYNormal"/>
    <w:rsid w:val="00AB36D8"/>
    <w:pPr>
      <w:spacing w:line="170" w:lineRule="atLeast"/>
    </w:pPr>
    <w:rPr>
      <w:color w:val="666666"/>
      <w:sz w:val="15"/>
    </w:rPr>
  </w:style>
  <w:style w:type="character" w:customStyle="1" w:styleId="EYBodytextwithparaspaceChar">
    <w:name w:val="EY Body text (with para space) Char"/>
    <w:basedOn w:val="DefaultParagraphFont"/>
    <w:rsid w:val="00AB36D8"/>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AB36D8"/>
    <w:pPr>
      <w:tabs>
        <w:tab w:val="clear" w:pos="907"/>
      </w:tabs>
      <w:spacing w:line="240" w:lineRule="auto"/>
    </w:pPr>
    <w:rPr>
      <w:spacing w:val="-4"/>
      <w:sz w:val="36"/>
    </w:rPr>
  </w:style>
  <w:style w:type="paragraph" w:customStyle="1" w:styleId="EYDocumentprompts">
    <w:name w:val="EY Document prompts"/>
    <w:basedOn w:val="EYNormal"/>
    <w:rsid w:val="00AB36D8"/>
    <w:pPr>
      <w:spacing w:line="240" w:lineRule="atLeast"/>
    </w:pPr>
    <w:rPr>
      <w:sz w:val="20"/>
    </w:rPr>
  </w:style>
  <w:style w:type="paragraph" w:customStyle="1" w:styleId="EYBodytextsubhead1">
    <w:name w:val="EY Body text subhead 1"/>
    <w:basedOn w:val="EYBodytextsolid"/>
    <w:rsid w:val="00AB36D8"/>
    <w:pPr>
      <w:spacing w:after="180"/>
    </w:pPr>
    <w:rPr>
      <w:rFonts w:ascii="Arial Bold" w:hAnsi="Arial Bold"/>
      <w:b/>
    </w:rPr>
  </w:style>
  <w:style w:type="paragraph" w:customStyle="1" w:styleId="EYBodytextsubhead2">
    <w:name w:val="EY Body text subhead 2"/>
    <w:basedOn w:val="EYBodytextsolid"/>
    <w:rsid w:val="00AB36D8"/>
    <w:pPr>
      <w:spacing w:after="180"/>
    </w:pPr>
    <w:rPr>
      <w:rFonts w:ascii="Arial Bold" w:hAnsi="Arial Bold"/>
      <w:b/>
      <w:i/>
    </w:rPr>
  </w:style>
  <w:style w:type="paragraph" w:customStyle="1" w:styleId="EYBodytextwithparaspace">
    <w:name w:val="EY Body text (with para space)"/>
    <w:basedOn w:val="EYBodytextsolid"/>
    <w:rsid w:val="00AB36D8"/>
    <w:pPr>
      <w:spacing w:after="400" w:line="360" w:lineRule="auto"/>
    </w:pPr>
  </w:style>
  <w:style w:type="paragraph" w:customStyle="1" w:styleId="EYDate">
    <w:name w:val="EY Date"/>
    <w:basedOn w:val="EYDocumentprompts"/>
    <w:rsid w:val="00AB36D8"/>
  </w:style>
  <w:style w:type="paragraph" w:customStyle="1" w:styleId="EYBulletedtext1">
    <w:name w:val="EY Bulleted text 1"/>
    <w:basedOn w:val="EYBodytextwithparaspace"/>
    <w:rsid w:val="00AB36D8"/>
    <w:pPr>
      <w:numPr>
        <w:numId w:val="1"/>
      </w:numPr>
    </w:pPr>
  </w:style>
  <w:style w:type="paragraph" w:customStyle="1" w:styleId="EYBulletedtext2">
    <w:name w:val="EY Bulleted text 2"/>
    <w:basedOn w:val="EYBodytextwithparaspace"/>
    <w:rsid w:val="00AB36D8"/>
    <w:pPr>
      <w:numPr>
        <w:numId w:val="2"/>
      </w:numPr>
    </w:pPr>
  </w:style>
  <w:style w:type="paragraph" w:customStyle="1" w:styleId="EYBusinessaddressbold">
    <w:name w:val="EY Business address (bold)"/>
    <w:basedOn w:val="EYBusinessaddress"/>
    <w:next w:val="EYBusinessaddress"/>
    <w:rsid w:val="00AB36D8"/>
    <w:rPr>
      <w:rFonts w:ascii="Arial Bold" w:hAnsi="Arial Bold"/>
      <w:b/>
    </w:rPr>
  </w:style>
  <w:style w:type="character" w:styleId="CommentReference">
    <w:name w:val="annotation reference"/>
    <w:basedOn w:val="DefaultParagraphFont"/>
    <w:semiHidden/>
    <w:rsid w:val="00AB36D8"/>
    <w:rPr>
      <w:sz w:val="16"/>
      <w:szCs w:val="16"/>
    </w:rPr>
  </w:style>
  <w:style w:type="paragraph" w:styleId="CommentText">
    <w:name w:val="annotation text"/>
    <w:basedOn w:val="Normal"/>
    <w:semiHidden/>
    <w:rsid w:val="00AB36D8"/>
    <w:rPr>
      <w:sz w:val="20"/>
      <w:szCs w:val="20"/>
    </w:rPr>
  </w:style>
  <w:style w:type="paragraph" w:styleId="BalloonText">
    <w:name w:val="Balloon Text"/>
    <w:basedOn w:val="Normal"/>
    <w:semiHidden/>
    <w:rsid w:val="00AB36D8"/>
    <w:rPr>
      <w:rFonts w:ascii="Tahoma" w:hAnsi="Tahoma" w:cs="Tahoma"/>
      <w:sz w:val="16"/>
      <w:szCs w:val="16"/>
    </w:rPr>
  </w:style>
  <w:style w:type="character" w:styleId="Hyperlink">
    <w:name w:val="Hyperlink"/>
    <w:basedOn w:val="DefaultParagraphFont"/>
    <w:rsid w:val="00AB36D8"/>
    <w:rPr>
      <w:color w:val="0000FF"/>
      <w:u w:val="single"/>
    </w:rPr>
  </w:style>
  <w:style w:type="paragraph" w:styleId="CommentSubject">
    <w:name w:val="annotation subject"/>
    <w:basedOn w:val="CommentText"/>
    <w:next w:val="CommentText"/>
    <w:semiHidden/>
    <w:rsid w:val="00AB36D8"/>
    <w:rPr>
      <w:b/>
      <w:bCs/>
    </w:rPr>
  </w:style>
  <w:style w:type="paragraph" w:customStyle="1" w:styleId="intro">
    <w:name w:val="intro"/>
    <w:basedOn w:val="Normal"/>
    <w:rsid w:val="00AB36D8"/>
    <w:pPr>
      <w:spacing w:before="100" w:beforeAutospacing="1" w:after="100" w:afterAutospacing="1"/>
    </w:pPr>
    <w:rPr>
      <w:color w:val="000000"/>
      <w:lang w:eastAsia="cs-CZ"/>
    </w:rPr>
  </w:style>
  <w:style w:type="character" w:customStyle="1" w:styleId="CharChar">
    <w:name w:val="Char Char"/>
    <w:basedOn w:val="DefaultParagraphFont"/>
    <w:rsid w:val="00AB36D8"/>
    <w:rPr>
      <w:b/>
      <w:bCs/>
      <w:color w:val="000000"/>
      <w:sz w:val="36"/>
      <w:szCs w:val="36"/>
    </w:rPr>
  </w:style>
  <w:style w:type="paragraph" w:styleId="NormalWeb">
    <w:name w:val="Normal (Web)"/>
    <w:basedOn w:val="Normal"/>
    <w:uiPriority w:val="99"/>
    <w:unhideWhenUsed/>
    <w:rsid w:val="00AB36D8"/>
    <w:pPr>
      <w:spacing w:before="100" w:beforeAutospacing="1" w:after="100" w:afterAutospacing="1"/>
    </w:pPr>
    <w:rPr>
      <w:color w:val="000000"/>
      <w:lang w:eastAsia="cs-CZ"/>
    </w:rPr>
  </w:style>
  <w:style w:type="paragraph" w:customStyle="1" w:styleId="EYHeading3">
    <w:name w:val="EY Heading 3"/>
    <w:basedOn w:val="Normal"/>
    <w:next w:val="EYBodytextwithparaspace"/>
    <w:link w:val="EYHeading3Char"/>
    <w:rsid w:val="00AB36D8"/>
    <w:pPr>
      <w:keepNext/>
      <w:suppressAutoHyphens/>
      <w:spacing w:before="120" w:after="120"/>
    </w:pPr>
    <w:rPr>
      <w:rFonts w:ascii="Arial" w:hAnsi="Arial"/>
      <w:b/>
      <w:i/>
      <w:kern w:val="12"/>
      <w:sz w:val="22"/>
      <w:lang w:val="en-GB"/>
    </w:rPr>
  </w:style>
  <w:style w:type="character" w:customStyle="1" w:styleId="EYHeading3Char">
    <w:name w:val="EY Heading 3 Char"/>
    <w:basedOn w:val="DefaultParagraphFont"/>
    <w:link w:val="EYHeading3"/>
    <w:rsid w:val="00AB36D8"/>
    <w:rPr>
      <w:rFonts w:ascii="Arial" w:hAnsi="Arial"/>
      <w:b/>
      <w:i/>
      <w:kern w:val="12"/>
      <w:sz w:val="22"/>
      <w:szCs w:val="24"/>
      <w:lang w:val="en-GB" w:eastAsia="en-US" w:bidi="ar-SA"/>
    </w:rPr>
  </w:style>
  <w:style w:type="paragraph" w:customStyle="1" w:styleId="EYHeading1">
    <w:name w:val="EY Heading 1"/>
    <w:basedOn w:val="EYNormal"/>
    <w:next w:val="EYBodytextwithparaspace"/>
    <w:link w:val="EYHeading1Char"/>
    <w:rsid w:val="00AB36D8"/>
    <w:pPr>
      <w:keepNext/>
      <w:spacing w:before="120" w:after="240"/>
    </w:pPr>
    <w:rPr>
      <w:b/>
      <w:sz w:val="26"/>
    </w:rPr>
  </w:style>
  <w:style w:type="character" w:customStyle="1" w:styleId="EYHeading1Char">
    <w:name w:val="EY Heading 1 Char"/>
    <w:basedOn w:val="DefaultParagraphFont"/>
    <w:link w:val="EYHeading1"/>
    <w:rsid w:val="00AB36D8"/>
    <w:rPr>
      <w:rFonts w:ascii="Arial" w:hAnsi="Arial"/>
      <w:b/>
      <w:kern w:val="12"/>
      <w:sz w:val="26"/>
      <w:szCs w:val="24"/>
      <w:lang w:val="en-GB" w:eastAsia="en-US" w:bidi="ar-SA"/>
    </w:rPr>
  </w:style>
  <w:style w:type="paragraph" w:customStyle="1" w:styleId="CRNormal">
    <w:name w:val="CR Normal"/>
    <w:basedOn w:val="Normal"/>
    <w:rsid w:val="00AB36D8"/>
    <w:pPr>
      <w:spacing w:line="260" w:lineRule="exact"/>
      <w:jc w:val="both"/>
    </w:pPr>
    <w:rPr>
      <w:sz w:val="22"/>
      <w:szCs w:val="20"/>
      <w:lang w:val="en-GB"/>
    </w:rPr>
  </w:style>
  <w:style w:type="paragraph" w:customStyle="1" w:styleId="EYHeading2">
    <w:name w:val="EY Heading 2"/>
    <w:basedOn w:val="EYHeading1"/>
    <w:next w:val="EYBodytextwithparaspace"/>
    <w:link w:val="EYHeading2Char"/>
    <w:rsid w:val="00AB36D8"/>
    <w:pPr>
      <w:spacing w:after="120"/>
    </w:pPr>
    <w:rPr>
      <w:sz w:val="22"/>
    </w:rPr>
  </w:style>
  <w:style w:type="character" w:customStyle="1" w:styleId="EYHeading2Char">
    <w:name w:val="EY Heading 2 Char"/>
    <w:basedOn w:val="EYHeading1Char"/>
    <w:link w:val="EYHeading2"/>
    <w:rsid w:val="00AB36D8"/>
    <w:rPr>
      <w:sz w:val="22"/>
    </w:rPr>
  </w:style>
  <w:style w:type="character" w:customStyle="1" w:styleId="EYNormalChar">
    <w:name w:val="EY Normal Char"/>
    <w:basedOn w:val="DefaultParagraphFont"/>
    <w:link w:val="EYNormal"/>
    <w:uiPriority w:val="99"/>
    <w:rsid w:val="00AB36D8"/>
    <w:rPr>
      <w:rFonts w:ascii="Arial" w:hAnsi="Arial"/>
      <w:kern w:val="12"/>
      <w:sz w:val="11"/>
      <w:szCs w:val="24"/>
      <w:lang w:val="en-GB" w:eastAsia="en-US" w:bidi="ar-SA"/>
    </w:rPr>
  </w:style>
  <w:style w:type="character" w:styleId="Emphasis">
    <w:name w:val="Emphasis"/>
    <w:basedOn w:val="DefaultParagraphFont"/>
    <w:qFormat/>
    <w:rsid w:val="00AB36D8"/>
    <w:rPr>
      <w:b/>
      <w:bCs/>
      <w:i w:val="0"/>
      <w:iCs w:val="0"/>
    </w:rPr>
  </w:style>
  <w:style w:type="paragraph" w:styleId="ListParagraph">
    <w:name w:val="List Paragraph"/>
    <w:basedOn w:val="Normal"/>
    <w:uiPriority w:val="99"/>
    <w:qFormat/>
    <w:rsid w:val="00AB36D8"/>
    <w:pPr>
      <w:ind w:left="720"/>
    </w:pPr>
  </w:style>
  <w:style w:type="paragraph" w:styleId="Revision">
    <w:name w:val="Revision"/>
    <w:hidden/>
    <w:uiPriority w:val="99"/>
    <w:semiHidden/>
    <w:rsid w:val="00AB36D8"/>
    <w:rPr>
      <w:sz w:val="24"/>
      <w:szCs w:val="24"/>
      <w:lang w:eastAsia="en-US"/>
    </w:rPr>
  </w:style>
  <w:style w:type="paragraph" w:customStyle="1" w:styleId="twoline">
    <w:name w:val="twoline"/>
    <w:basedOn w:val="Normal"/>
    <w:rsid w:val="00AB36D8"/>
    <w:pPr>
      <w:spacing w:before="100" w:beforeAutospacing="1" w:after="100" w:afterAutospacing="1"/>
    </w:pPr>
    <w:rPr>
      <w:lang w:val="en-US"/>
    </w:rPr>
  </w:style>
  <w:style w:type="character" w:styleId="Strong">
    <w:name w:val="Strong"/>
    <w:basedOn w:val="DefaultParagraphFont"/>
    <w:uiPriority w:val="22"/>
    <w:qFormat/>
    <w:rsid w:val="00AB36D8"/>
    <w:rPr>
      <w:b/>
      <w:bCs/>
    </w:rPr>
  </w:style>
  <w:style w:type="paragraph" w:customStyle="1" w:styleId="pagetext">
    <w:name w:val="pagetext"/>
    <w:basedOn w:val="Normal"/>
    <w:rsid w:val="00AB36D8"/>
    <w:pPr>
      <w:spacing w:line="336" w:lineRule="auto"/>
    </w:pPr>
    <w:rPr>
      <w:rFonts w:ascii="Arial" w:hAnsi="Arial" w:cs="Arial"/>
      <w:sz w:val="20"/>
      <w:szCs w:val="20"/>
    </w:rPr>
  </w:style>
  <w:style w:type="character" w:customStyle="1" w:styleId="tw4winMark">
    <w:name w:val="tw4winMark"/>
    <w:rsid w:val="00AB36D8"/>
    <w:rPr>
      <w:rFonts w:ascii="Courier New" w:hAnsi="Courier New"/>
      <w:vanish/>
      <w:color w:val="800080"/>
      <w:vertAlign w:val="subscript"/>
    </w:rPr>
  </w:style>
  <w:style w:type="character" w:customStyle="1" w:styleId="Heading3Char">
    <w:name w:val="Heading 3 Char"/>
    <w:basedOn w:val="DefaultParagraphFont"/>
    <w:link w:val="Heading3"/>
    <w:semiHidden/>
    <w:rsid w:val="008D0C9A"/>
    <w:rPr>
      <w:rFonts w:ascii="Cambria" w:eastAsia="Times New Roman" w:hAnsi="Cambria" w:cs="Times New Roman"/>
      <w:b/>
      <w:bCs/>
      <w:sz w:val="26"/>
      <w:szCs w:val="26"/>
      <w:lang w:val="cs-CZ"/>
    </w:rPr>
  </w:style>
  <w:style w:type="paragraph" w:styleId="ListBullet">
    <w:name w:val="List Bullet"/>
    <w:basedOn w:val="Normal"/>
    <w:uiPriority w:val="99"/>
    <w:qFormat/>
    <w:rsid w:val="008D0C9A"/>
    <w:pPr>
      <w:numPr>
        <w:numId w:val="25"/>
      </w:numPr>
      <w:spacing w:line="276" w:lineRule="auto"/>
      <w:contextualSpacing/>
    </w:pPr>
    <w:rPr>
      <w:rFonts w:ascii="EYInterstate Light" w:eastAsia="Calibri" w:hAnsi="EYInterstate Light"/>
      <w:sz w:val="22"/>
      <w:szCs w:val="22"/>
      <w:lang w:val="en-US"/>
    </w:rPr>
  </w:style>
  <w:style w:type="paragraph" w:styleId="ListNumber">
    <w:name w:val="List Number"/>
    <w:basedOn w:val="Normal"/>
    <w:uiPriority w:val="99"/>
    <w:rsid w:val="008D0C9A"/>
    <w:pPr>
      <w:numPr>
        <w:numId w:val="26"/>
      </w:numPr>
      <w:spacing w:line="276" w:lineRule="auto"/>
      <w:contextualSpacing/>
    </w:pPr>
    <w:rPr>
      <w:rFonts w:ascii="EYInterstate Light" w:eastAsia="Calibri" w:hAnsi="EYInterstate Light"/>
      <w:sz w:val="22"/>
      <w:szCs w:val="22"/>
      <w:lang w:val="en-US"/>
    </w:rPr>
  </w:style>
</w:styles>
</file>

<file path=word/webSettings.xml><?xml version="1.0" encoding="utf-8"?>
<w:webSettings xmlns:r="http://schemas.openxmlformats.org/officeDocument/2006/relationships" xmlns:w="http://schemas.openxmlformats.org/wordprocessingml/2006/main">
  <w:divs>
    <w:div w:id="557594710">
      <w:bodyDiv w:val="1"/>
      <w:marLeft w:val="0"/>
      <w:marRight w:val="0"/>
      <w:marTop w:val="0"/>
      <w:marBottom w:val="0"/>
      <w:divBdr>
        <w:top w:val="none" w:sz="0" w:space="0" w:color="auto"/>
        <w:left w:val="none" w:sz="0" w:space="0" w:color="auto"/>
        <w:bottom w:val="none" w:sz="0" w:space="0" w:color="auto"/>
        <w:right w:val="none" w:sz="0" w:space="0" w:color="auto"/>
      </w:divBdr>
      <w:divsChild>
        <w:div w:id="571702391">
          <w:marLeft w:val="648"/>
          <w:marRight w:val="0"/>
          <w:marTop w:val="0"/>
          <w:marBottom w:val="120"/>
          <w:divBdr>
            <w:top w:val="none" w:sz="0" w:space="0" w:color="auto"/>
            <w:left w:val="none" w:sz="0" w:space="0" w:color="auto"/>
            <w:bottom w:val="none" w:sz="0" w:space="0" w:color="auto"/>
            <w:right w:val="none" w:sz="0" w:space="0" w:color="auto"/>
          </w:divBdr>
        </w:div>
        <w:div w:id="789856501">
          <w:marLeft w:val="648"/>
          <w:marRight w:val="0"/>
          <w:marTop w:val="0"/>
          <w:marBottom w:val="120"/>
          <w:divBdr>
            <w:top w:val="none" w:sz="0" w:space="0" w:color="auto"/>
            <w:left w:val="none" w:sz="0" w:space="0" w:color="auto"/>
            <w:bottom w:val="none" w:sz="0" w:space="0" w:color="auto"/>
            <w:right w:val="none" w:sz="0" w:space="0" w:color="auto"/>
          </w:divBdr>
        </w:div>
        <w:div w:id="1156336793">
          <w:marLeft w:val="648"/>
          <w:marRight w:val="0"/>
          <w:marTop w:val="0"/>
          <w:marBottom w:val="120"/>
          <w:divBdr>
            <w:top w:val="none" w:sz="0" w:space="0" w:color="auto"/>
            <w:left w:val="none" w:sz="0" w:space="0" w:color="auto"/>
            <w:bottom w:val="none" w:sz="0" w:space="0" w:color="auto"/>
            <w:right w:val="none" w:sz="0" w:space="0" w:color="auto"/>
          </w:divBdr>
        </w:div>
        <w:div w:id="1270434713">
          <w:marLeft w:val="648"/>
          <w:marRight w:val="0"/>
          <w:marTop w:val="0"/>
          <w:marBottom w:val="120"/>
          <w:divBdr>
            <w:top w:val="none" w:sz="0" w:space="0" w:color="auto"/>
            <w:left w:val="none" w:sz="0" w:space="0" w:color="auto"/>
            <w:bottom w:val="none" w:sz="0" w:space="0" w:color="auto"/>
            <w:right w:val="none" w:sz="0" w:space="0" w:color="auto"/>
          </w:divBdr>
        </w:div>
      </w:divsChild>
    </w:div>
    <w:div w:id="716512264">
      <w:bodyDiv w:val="1"/>
      <w:marLeft w:val="0"/>
      <w:marRight w:val="0"/>
      <w:marTop w:val="0"/>
      <w:marBottom w:val="0"/>
      <w:divBdr>
        <w:top w:val="none" w:sz="0" w:space="0" w:color="auto"/>
        <w:left w:val="none" w:sz="0" w:space="0" w:color="auto"/>
        <w:bottom w:val="none" w:sz="0" w:space="0" w:color="auto"/>
        <w:right w:val="none" w:sz="0" w:space="0" w:color="auto"/>
      </w:divBdr>
      <w:divsChild>
        <w:div w:id="1752047956">
          <w:marLeft w:val="0"/>
          <w:marRight w:val="0"/>
          <w:marTop w:val="0"/>
          <w:marBottom w:val="0"/>
          <w:divBdr>
            <w:top w:val="none" w:sz="0" w:space="0" w:color="auto"/>
            <w:left w:val="none" w:sz="0" w:space="0" w:color="auto"/>
            <w:bottom w:val="none" w:sz="0" w:space="0" w:color="auto"/>
            <w:right w:val="none" w:sz="0" w:space="0" w:color="auto"/>
          </w:divBdr>
          <w:divsChild>
            <w:div w:id="715662271">
              <w:marLeft w:val="0"/>
              <w:marRight w:val="0"/>
              <w:marTop w:val="0"/>
              <w:marBottom w:val="0"/>
              <w:divBdr>
                <w:top w:val="none" w:sz="0" w:space="0" w:color="auto"/>
                <w:left w:val="none" w:sz="0" w:space="0" w:color="auto"/>
                <w:bottom w:val="none" w:sz="0" w:space="0" w:color="auto"/>
                <w:right w:val="none" w:sz="0" w:space="0" w:color="auto"/>
              </w:divBdr>
              <w:divsChild>
                <w:div w:id="1929342785">
                  <w:marLeft w:val="0"/>
                  <w:marRight w:val="0"/>
                  <w:marTop w:val="0"/>
                  <w:marBottom w:val="0"/>
                  <w:divBdr>
                    <w:top w:val="none" w:sz="0" w:space="0" w:color="auto"/>
                    <w:left w:val="none" w:sz="0" w:space="0" w:color="auto"/>
                    <w:bottom w:val="none" w:sz="0" w:space="0" w:color="auto"/>
                    <w:right w:val="none" w:sz="0" w:space="0" w:color="auto"/>
                  </w:divBdr>
                  <w:divsChild>
                    <w:div w:id="1923485213">
                      <w:marLeft w:val="0"/>
                      <w:marRight w:val="0"/>
                      <w:marTop w:val="0"/>
                      <w:marBottom w:val="0"/>
                      <w:divBdr>
                        <w:top w:val="none" w:sz="0" w:space="0" w:color="auto"/>
                        <w:left w:val="none" w:sz="0" w:space="0" w:color="auto"/>
                        <w:bottom w:val="none" w:sz="0" w:space="0" w:color="auto"/>
                        <w:right w:val="none" w:sz="0" w:space="0" w:color="auto"/>
                      </w:divBdr>
                      <w:divsChild>
                        <w:div w:id="373896796">
                          <w:marLeft w:val="0"/>
                          <w:marRight w:val="0"/>
                          <w:marTop w:val="0"/>
                          <w:marBottom w:val="0"/>
                          <w:divBdr>
                            <w:top w:val="none" w:sz="0" w:space="0" w:color="auto"/>
                            <w:left w:val="none" w:sz="0" w:space="0" w:color="auto"/>
                            <w:bottom w:val="none" w:sz="0" w:space="0" w:color="auto"/>
                            <w:right w:val="none" w:sz="0" w:space="0" w:color="auto"/>
                          </w:divBdr>
                          <w:divsChild>
                            <w:div w:id="10620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6762">
      <w:bodyDiv w:val="1"/>
      <w:marLeft w:val="0"/>
      <w:marRight w:val="0"/>
      <w:marTop w:val="0"/>
      <w:marBottom w:val="0"/>
      <w:divBdr>
        <w:top w:val="none" w:sz="0" w:space="0" w:color="auto"/>
        <w:left w:val="none" w:sz="0" w:space="0" w:color="auto"/>
        <w:bottom w:val="none" w:sz="0" w:space="0" w:color="auto"/>
        <w:right w:val="none" w:sz="0" w:space="0" w:color="auto"/>
      </w:divBdr>
      <w:divsChild>
        <w:div w:id="1325401186">
          <w:marLeft w:val="0"/>
          <w:marRight w:val="0"/>
          <w:marTop w:val="0"/>
          <w:marBottom w:val="0"/>
          <w:divBdr>
            <w:top w:val="none" w:sz="0" w:space="0" w:color="auto"/>
            <w:left w:val="none" w:sz="0" w:space="0" w:color="auto"/>
            <w:bottom w:val="none" w:sz="0" w:space="0" w:color="auto"/>
            <w:right w:val="none" w:sz="0" w:space="0" w:color="auto"/>
          </w:divBdr>
          <w:divsChild>
            <w:div w:id="388962758">
              <w:marLeft w:val="0"/>
              <w:marRight w:val="0"/>
              <w:marTop w:val="0"/>
              <w:marBottom w:val="0"/>
              <w:divBdr>
                <w:top w:val="none" w:sz="0" w:space="0" w:color="auto"/>
                <w:left w:val="none" w:sz="0" w:space="0" w:color="auto"/>
                <w:bottom w:val="none" w:sz="0" w:space="0" w:color="auto"/>
                <w:right w:val="none" w:sz="0" w:space="0" w:color="auto"/>
              </w:divBdr>
              <w:divsChild>
                <w:div w:id="194930559">
                  <w:marLeft w:val="0"/>
                  <w:marRight w:val="0"/>
                  <w:marTop w:val="0"/>
                  <w:marBottom w:val="0"/>
                  <w:divBdr>
                    <w:top w:val="none" w:sz="0" w:space="0" w:color="auto"/>
                    <w:left w:val="none" w:sz="0" w:space="0" w:color="auto"/>
                    <w:bottom w:val="none" w:sz="0" w:space="0" w:color="auto"/>
                    <w:right w:val="none" w:sz="0" w:space="0" w:color="auto"/>
                  </w:divBdr>
                  <w:divsChild>
                    <w:div w:id="1241211608">
                      <w:marLeft w:val="0"/>
                      <w:marRight w:val="0"/>
                      <w:marTop w:val="0"/>
                      <w:marBottom w:val="0"/>
                      <w:divBdr>
                        <w:top w:val="none" w:sz="0" w:space="0" w:color="auto"/>
                        <w:left w:val="none" w:sz="0" w:space="0" w:color="auto"/>
                        <w:bottom w:val="none" w:sz="0" w:space="0" w:color="auto"/>
                        <w:right w:val="none" w:sz="0" w:space="0" w:color="auto"/>
                      </w:divBdr>
                      <w:divsChild>
                        <w:div w:id="993755107">
                          <w:marLeft w:val="0"/>
                          <w:marRight w:val="0"/>
                          <w:marTop w:val="0"/>
                          <w:marBottom w:val="0"/>
                          <w:divBdr>
                            <w:top w:val="none" w:sz="0" w:space="0" w:color="auto"/>
                            <w:left w:val="none" w:sz="0" w:space="0" w:color="auto"/>
                            <w:bottom w:val="none" w:sz="0" w:space="0" w:color="auto"/>
                            <w:right w:val="none" w:sz="0" w:space="0" w:color="auto"/>
                          </w:divBdr>
                          <w:divsChild>
                            <w:div w:id="2052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32054">
      <w:bodyDiv w:val="1"/>
      <w:marLeft w:val="0"/>
      <w:marRight w:val="0"/>
      <w:marTop w:val="0"/>
      <w:marBottom w:val="0"/>
      <w:divBdr>
        <w:top w:val="none" w:sz="0" w:space="0" w:color="auto"/>
        <w:left w:val="none" w:sz="0" w:space="0" w:color="auto"/>
        <w:bottom w:val="none" w:sz="0" w:space="0" w:color="auto"/>
        <w:right w:val="none" w:sz="0" w:space="0" w:color="auto"/>
      </w:divBdr>
    </w:div>
    <w:div w:id="950284481">
      <w:bodyDiv w:val="1"/>
      <w:marLeft w:val="0"/>
      <w:marRight w:val="0"/>
      <w:marTop w:val="0"/>
      <w:marBottom w:val="0"/>
      <w:divBdr>
        <w:top w:val="none" w:sz="0" w:space="0" w:color="auto"/>
        <w:left w:val="none" w:sz="0" w:space="0" w:color="auto"/>
        <w:bottom w:val="none" w:sz="0" w:space="0" w:color="auto"/>
        <w:right w:val="none" w:sz="0" w:space="0" w:color="auto"/>
      </w:divBdr>
      <w:divsChild>
        <w:div w:id="44720276">
          <w:marLeft w:val="288"/>
          <w:marRight w:val="0"/>
          <w:marTop w:val="0"/>
          <w:marBottom w:val="108"/>
          <w:divBdr>
            <w:top w:val="none" w:sz="0" w:space="0" w:color="auto"/>
            <w:left w:val="none" w:sz="0" w:space="0" w:color="auto"/>
            <w:bottom w:val="none" w:sz="0" w:space="0" w:color="auto"/>
            <w:right w:val="none" w:sz="0" w:space="0" w:color="auto"/>
          </w:divBdr>
        </w:div>
        <w:div w:id="179661726">
          <w:marLeft w:val="288"/>
          <w:marRight w:val="0"/>
          <w:marTop w:val="0"/>
          <w:marBottom w:val="108"/>
          <w:divBdr>
            <w:top w:val="none" w:sz="0" w:space="0" w:color="auto"/>
            <w:left w:val="none" w:sz="0" w:space="0" w:color="auto"/>
            <w:bottom w:val="none" w:sz="0" w:space="0" w:color="auto"/>
            <w:right w:val="none" w:sz="0" w:space="0" w:color="auto"/>
          </w:divBdr>
        </w:div>
        <w:div w:id="776946379">
          <w:marLeft w:val="288"/>
          <w:marRight w:val="0"/>
          <w:marTop w:val="0"/>
          <w:marBottom w:val="108"/>
          <w:divBdr>
            <w:top w:val="none" w:sz="0" w:space="0" w:color="auto"/>
            <w:left w:val="none" w:sz="0" w:space="0" w:color="auto"/>
            <w:bottom w:val="none" w:sz="0" w:space="0" w:color="auto"/>
            <w:right w:val="none" w:sz="0" w:space="0" w:color="auto"/>
          </w:divBdr>
        </w:div>
      </w:divsChild>
    </w:div>
    <w:div w:id="2034990156">
      <w:bodyDiv w:val="1"/>
      <w:marLeft w:val="0"/>
      <w:marRight w:val="0"/>
      <w:marTop w:val="0"/>
      <w:marBottom w:val="0"/>
      <w:divBdr>
        <w:top w:val="none" w:sz="0" w:space="0" w:color="auto"/>
        <w:left w:val="none" w:sz="0" w:space="0" w:color="auto"/>
        <w:bottom w:val="none" w:sz="0" w:space="0" w:color="auto"/>
        <w:right w:val="none" w:sz="0" w:space="0" w:color="auto"/>
      </w:divBdr>
      <w:divsChild>
        <w:div w:id="1932811147">
          <w:marLeft w:val="-7680"/>
          <w:marRight w:val="0"/>
          <w:marTop w:val="0"/>
          <w:marBottom w:val="0"/>
          <w:divBdr>
            <w:top w:val="none" w:sz="0" w:space="0" w:color="auto"/>
            <w:left w:val="none" w:sz="0" w:space="0" w:color="auto"/>
            <w:bottom w:val="none" w:sz="0" w:space="0" w:color="auto"/>
            <w:right w:val="none" w:sz="0" w:space="0" w:color="auto"/>
          </w:divBdr>
          <w:divsChild>
            <w:div w:id="1151629820">
              <w:marLeft w:val="0"/>
              <w:marRight w:val="0"/>
              <w:marTop w:val="405"/>
              <w:marBottom w:val="0"/>
              <w:divBdr>
                <w:top w:val="none" w:sz="0" w:space="0" w:color="auto"/>
                <w:left w:val="none" w:sz="0" w:space="0" w:color="auto"/>
                <w:bottom w:val="none" w:sz="0" w:space="0" w:color="auto"/>
                <w:right w:val="none" w:sz="0" w:space="0" w:color="auto"/>
              </w:divBdr>
              <w:divsChild>
                <w:div w:id="1348562793">
                  <w:marLeft w:val="0"/>
                  <w:marRight w:val="0"/>
                  <w:marTop w:val="0"/>
                  <w:marBottom w:val="0"/>
                  <w:divBdr>
                    <w:top w:val="none" w:sz="0" w:space="0" w:color="auto"/>
                    <w:left w:val="none" w:sz="0" w:space="0" w:color="auto"/>
                    <w:bottom w:val="none" w:sz="0" w:space="0" w:color="auto"/>
                    <w:right w:val="none" w:sz="0" w:space="0" w:color="auto"/>
                  </w:divBdr>
                  <w:divsChild>
                    <w:div w:id="1247037180">
                      <w:marLeft w:val="0"/>
                      <w:marRight w:val="0"/>
                      <w:marTop w:val="0"/>
                      <w:marBottom w:val="0"/>
                      <w:divBdr>
                        <w:top w:val="none" w:sz="0" w:space="0" w:color="auto"/>
                        <w:left w:val="none" w:sz="0" w:space="0" w:color="auto"/>
                        <w:bottom w:val="none" w:sz="0" w:space="0" w:color="auto"/>
                        <w:right w:val="none" w:sz="0" w:space="0" w:color="auto"/>
                      </w:divBdr>
                      <w:divsChild>
                        <w:div w:id="112672477">
                          <w:marLeft w:val="0"/>
                          <w:marRight w:val="0"/>
                          <w:marTop w:val="0"/>
                          <w:marBottom w:val="0"/>
                          <w:divBdr>
                            <w:top w:val="none" w:sz="0" w:space="0" w:color="auto"/>
                            <w:left w:val="none" w:sz="0" w:space="0" w:color="auto"/>
                            <w:bottom w:val="none" w:sz="0" w:space="0" w:color="auto"/>
                            <w:right w:val="none" w:sz="0" w:space="0" w:color="auto"/>
                          </w:divBdr>
                          <w:divsChild>
                            <w:div w:id="2135757722">
                              <w:marLeft w:val="0"/>
                              <w:marRight w:val="150"/>
                              <w:marTop w:val="0"/>
                              <w:marBottom w:val="0"/>
                              <w:divBdr>
                                <w:top w:val="none" w:sz="0" w:space="0" w:color="auto"/>
                                <w:left w:val="none" w:sz="0" w:space="0" w:color="auto"/>
                                <w:bottom w:val="none" w:sz="0" w:space="0" w:color="auto"/>
                                <w:right w:val="none" w:sz="0" w:space="0" w:color="auto"/>
                              </w:divBdr>
                              <w:divsChild>
                                <w:div w:id="452556711">
                                  <w:marLeft w:val="-60"/>
                                  <w:marRight w:val="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y.co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E1EF34\4957_EYc%20News%20Release%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4957_EYc News Release CZ</Template>
  <TotalTime>0</TotalTime>
  <Pages>3</Pages>
  <Words>1155</Words>
  <Characters>6946</Characters>
  <Application>Microsoft Office Word</Application>
  <DocSecurity>0</DocSecurity>
  <Lines>57</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 release</vt:lpstr>
      <vt:lpstr>News release</vt:lpstr>
    </vt:vector>
  </TitlesOfParts>
  <Company/>
  <LinksUpToDate>false</LinksUpToDate>
  <CharactersWithSpaces>8085</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cp:lastModifiedBy>Ernst &amp; Young</cp:lastModifiedBy>
  <cp:revision>2</cp:revision>
  <cp:lastPrinted>2011-03-24T08:16:00Z</cp:lastPrinted>
  <dcterms:created xsi:type="dcterms:W3CDTF">2011-03-24T09:18:00Z</dcterms:created>
  <dcterms:modified xsi:type="dcterms:W3CDTF">2011-03-24T09:18:00Z</dcterms:modified>
</cp:coreProperties>
</file>