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7B" w:rsidRPr="00304CE3" w:rsidRDefault="00D97C7B">
      <w:pPr>
        <w:pStyle w:val="EYBodytextsubhead1"/>
        <w:ind w:right="-85"/>
        <w:rPr>
          <w:rFonts w:ascii="Arial" w:hAnsi="Arial" w:cs="Arial"/>
          <w:b w:val="0"/>
          <w:sz w:val="36"/>
          <w:szCs w:val="36"/>
          <w:lang w:val="en-US"/>
        </w:rPr>
      </w:pPr>
      <w:proofErr w:type="spellStart"/>
      <w:r w:rsidRPr="00304CE3">
        <w:rPr>
          <w:rFonts w:ascii="Arial" w:hAnsi="Arial" w:cs="Arial"/>
          <w:b w:val="0"/>
          <w:sz w:val="36"/>
          <w:szCs w:val="36"/>
          <w:lang w:val="en-US"/>
        </w:rPr>
        <w:t>Tisková</w:t>
      </w:r>
      <w:proofErr w:type="spellEnd"/>
      <w:r w:rsidRPr="00304CE3">
        <w:rPr>
          <w:rFonts w:ascii="Arial" w:hAnsi="Arial" w:cs="Arial"/>
          <w:b w:val="0"/>
          <w:sz w:val="36"/>
          <w:szCs w:val="36"/>
          <w:lang w:val="en-US"/>
        </w:rPr>
        <w:t xml:space="preserve"> </w:t>
      </w:r>
      <w:proofErr w:type="spellStart"/>
      <w:r w:rsidRPr="00304CE3">
        <w:rPr>
          <w:rFonts w:ascii="Arial" w:hAnsi="Arial" w:cs="Arial"/>
          <w:b w:val="0"/>
          <w:sz w:val="36"/>
          <w:szCs w:val="36"/>
          <w:lang w:val="en-US"/>
        </w:rPr>
        <w:t>zpráva</w:t>
      </w:r>
      <w:proofErr w:type="spellEnd"/>
    </w:p>
    <w:p w:rsidR="00D97C7B" w:rsidRPr="00304CE3"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04CE3">
        <w:rPr>
          <w:rFonts w:ascii="Arial" w:hAnsi="Arial" w:cs="Arial"/>
          <w:b w:val="0"/>
          <w:sz w:val="20"/>
          <w:szCs w:val="20"/>
          <w:lang w:val="en-US"/>
        </w:rPr>
        <w:tab/>
      </w:r>
      <w:proofErr w:type="spellStart"/>
      <w:r w:rsidRPr="00304CE3">
        <w:rPr>
          <w:rFonts w:ascii="Arial" w:hAnsi="Arial" w:cs="Arial"/>
          <w:b w:val="0"/>
          <w:sz w:val="16"/>
          <w:szCs w:val="16"/>
          <w:lang w:val="en-US"/>
        </w:rPr>
        <w:t>Alžběta</w:t>
      </w:r>
      <w:proofErr w:type="spellEnd"/>
      <w:r w:rsidRPr="00304CE3">
        <w:rPr>
          <w:rFonts w:ascii="Arial" w:hAnsi="Arial" w:cs="Arial"/>
          <w:b w:val="0"/>
          <w:sz w:val="16"/>
          <w:szCs w:val="16"/>
          <w:lang w:val="en-US"/>
        </w:rPr>
        <w:t xml:space="preserve"> </w:t>
      </w:r>
      <w:proofErr w:type="spellStart"/>
      <w:r w:rsidRPr="00304CE3">
        <w:rPr>
          <w:rFonts w:ascii="Arial" w:hAnsi="Arial" w:cs="Arial"/>
          <w:b w:val="0"/>
          <w:sz w:val="16"/>
          <w:szCs w:val="16"/>
          <w:lang w:val="en-US"/>
        </w:rPr>
        <w:t>Honsová</w:t>
      </w:r>
      <w:proofErr w:type="spellEnd"/>
      <w:r w:rsidRPr="00304CE3">
        <w:rPr>
          <w:rFonts w:ascii="Arial" w:hAnsi="Arial" w:cs="Arial"/>
          <w:b w:val="0"/>
          <w:sz w:val="16"/>
          <w:szCs w:val="16"/>
          <w:lang w:val="en-US"/>
        </w:rPr>
        <w:tab/>
        <w:t xml:space="preserve">Monika </w:t>
      </w:r>
      <w:proofErr w:type="spellStart"/>
      <w:r w:rsidRPr="00304CE3">
        <w:rPr>
          <w:rFonts w:ascii="Arial" w:hAnsi="Arial" w:cs="Arial"/>
          <w:b w:val="0"/>
          <w:sz w:val="16"/>
          <w:szCs w:val="16"/>
          <w:lang w:val="en-US"/>
        </w:rPr>
        <w:t>Veselá</w:t>
      </w:r>
      <w:proofErr w:type="spellEnd"/>
    </w:p>
    <w:p w:rsidR="00D97C7B" w:rsidRPr="00304CE3"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04CE3">
        <w:rPr>
          <w:rFonts w:ascii="Arial" w:hAnsi="Arial" w:cs="Arial"/>
          <w:b w:val="0"/>
          <w:sz w:val="16"/>
          <w:szCs w:val="16"/>
          <w:lang w:val="en-US"/>
        </w:rPr>
        <w:tab/>
        <w:t>Ernst &amp; Young</w:t>
      </w:r>
      <w:r w:rsidRPr="00304CE3">
        <w:rPr>
          <w:rFonts w:ascii="Arial" w:hAnsi="Arial" w:cs="Arial"/>
          <w:b w:val="0"/>
          <w:sz w:val="16"/>
          <w:szCs w:val="16"/>
          <w:lang w:val="en-US"/>
        </w:rPr>
        <w:tab/>
        <w:t xml:space="preserve">Fleishman </w:t>
      </w:r>
      <w:proofErr w:type="spellStart"/>
      <w:r w:rsidRPr="00304CE3">
        <w:rPr>
          <w:rFonts w:ascii="Arial" w:hAnsi="Arial" w:cs="Arial"/>
          <w:b w:val="0"/>
          <w:sz w:val="16"/>
          <w:szCs w:val="16"/>
          <w:lang w:val="en-US"/>
        </w:rPr>
        <w:t>Hillard</w:t>
      </w:r>
      <w:proofErr w:type="spellEnd"/>
    </w:p>
    <w:p w:rsidR="00D97C7B" w:rsidRPr="00304CE3"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04CE3">
        <w:rPr>
          <w:rFonts w:ascii="Arial" w:hAnsi="Arial" w:cs="Arial"/>
          <w:b w:val="0"/>
          <w:sz w:val="16"/>
          <w:szCs w:val="16"/>
          <w:lang w:val="en-US"/>
        </w:rPr>
        <w:tab/>
        <w:t>Tel.: +420 225 335 669</w:t>
      </w:r>
      <w:r w:rsidRPr="00304CE3">
        <w:rPr>
          <w:rFonts w:ascii="Arial" w:hAnsi="Arial" w:cs="Arial"/>
          <w:b w:val="0"/>
          <w:sz w:val="16"/>
          <w:szCs w:val="16"/>
          <w:lang w:val="en-US"/>
        </w:rPr>
        <w:tab/>
        <w:t>Tel.: +420 234 669 504</w:t>
      </w:r>
    </w:p>
    <w:p w:rsidR="00D97C7B" w:rsidRPr="00304CE3"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04CE3">
        <w:rPr>
          <w:rFonts w:ascii="Arial" w:hAnsi="Arial" w:cs="Arial"/>
          <w:b w:val="0"/>
          <w:sz w:val="16"/>
          <w:szCs w:val="16"/>
          <w:lang w:val="en-US"/>
        </w:rPr>
        <w:tab/>
        <w:t>Mobile: +420 </w:t>
      </w:r>
      <w:proofErr w:type="gramStart"/>
      <w:r w:rsidRPr="00304CE3">
        <w:rPr>
          <w:rFonts w:ascii="Arial" w:hAnsi="Arial" w:cs="Arial"/>
          <w:b w:val="0"/>
          <w:sz w:val="16"/>
          <w:szCs w:val="16"/>
          <w:lang w:val="en-US"/>
        </w:rPr>
        <w:t>603  577</w:t>
      </w:r>
      <w:proofErr w:type="gramEnd"/>
      <w:r w:rsidRPr="00304CE3">
        <w:rPr>
          <w:rFonts w:ascii="Arial" w:hAnsi="Arial" w:cs="Arial"/>
          <w:b w:val="0"/>
          <w:sz w:val="16"/>
          <w:szCs w:val="16"/>
          <w:lang w:val="en-US"/>
        </w:rPr>
        <w:t xml:space="preserve"> 939</w:t>
      </w:r>
      <w:r w:rsidRPr="00304CE3">
        <w:rPr>
          <w:rFonts w:ascii="Arial" w:hAnsi="Arial" w:cs="Arial"/>
          <w:b w:val="0"/>
          <w:sz w:val="16"/>
          <w:szCs w:val="16"/>
          <w:lang w:val="en-US"/>
        </w:rPr>
        <w:tab/>
        <w:t>Mobile: +420 604 333 320</w:t>
      </w:r>
    </w:p>
    <w:p w:rsidR="00D97C7B" w:rsidRPr="00304CE3" w:rsidRDefault="00D97C7B">
      <w:pPr>
        <w:pStyle w:val="EYBodytextsubhead1"/>
        <w:tabs>
          <w:tab w:val="clear" w:pos="907"/>
          <w:tab w:val="left" w:pos="2548"/>
          <w:tab w:val="left" w:pos="6565"/>
        </w:tabs>
        <w:spacing w:after="0" w:line="240" w:lineRule="auto"/>
        <w:ind w:right="-85"/>
        <w:rPr>
          <w:rFonts w:ascii="Arial" w:hAnsi="Arial" w:cs="Arial"/>
          <w:b w:val="0"/>
          <w:sz w:val="16"/>
          <w:szCs w:val="16"/>
          <w:lang w:val="en-US"/>
        </w:rPr>
      </w:pPr>
      <w:r w:rsidRPr="00304CE3">
        <w:rPr>
          <w:rFonts w:ascii="Arial" w:hAnsi="Arial" w:cs="Arial"/>
          <w:b w:val="0"/>
          <w:sz w:val="16"/>
          <w:szCs w:val="16"/>
          <w:lang w:val="en-US"/>
        </w:rPr>
        <w:tab/>
        <w:t>E-mail: alzbeta.honsova@cz.ey.com</w:t>
      </w:r>
      <w:r w:rsidRPr="00304CE3">
        <w:rPr>
          <w:rFonts w:ascii="Arial" w:hAnsi="Arial" w:cs="Arial"/>
          <w:b w:val="0"/>
          <w:sz w:val="16"/>
          <w:szCs w:val="16"/>
          <w:lang w:val="en-US"/>
        </w:rPr>
        <w:tab/>
        <w:t>E-mail: monika.vesela@fleishman.com</w:t>
      </w:r>
    </w:p>
    <w:p w:rsidR="00D97C7B" w:rsidRPr="00304CE3" w:rsidRDefault="00D97C7B">
      <w:pPr>
        <w:pStyle w:val="EYBodytextsubhead1"/>
        <w:tabs>
          <w:tab w:val="clear" w:pos="907"/>
          <w:tab w:val="left" w:pos="2548"/>
          <w:tab w:val="left" w:pos="6162"/>
        </w:tabs>
        <w:spacing w:after="0" w:line="240" w:lineRule="auto"/>
        <w:ind w:right="-85"/>
        <w:rPr>
          <w:rFonts w:ascii="Arial" w:hAnsi="Arial" w:cs="Arial"/>
          <w:b w:val="0"/>
          <w:sz w:val="16"/>
          <w:szCs w:val="16"/>
          <w:lang w:val="en-US"/>
        </w:rPr>
      </w:pPr>
    </w:p>
    <w:p w:rsidR="00D97C7B" w:rsidRPr="00304CE3" w:rsidRDefault="00D97C7B">
      <w:pPr>
        <w:pStyle w:val="EYBodytextsubhead1"/>
        <w:tabs>
          <w:tab w:val="clear" w:pos="907"/>
          <w:tab w:val="left" w:pos="2548"/>
          <w:tab w:val="left" w:pos="6162"/>
        </w:tabs>
        <w:spacing w:after="0" w:line="240" w:lineRule="auto"/>
        <w:ind w:right="-85"/>
        <w:rPr>
          <w:rFonts w:ascii="Arial" w:hAnsi="Arial" w:cs="Arial"/>
          <w:b w:val="0"/>
          <w:sz w:val="16"/>
          <w:szCs w:val="16"/>
          <w:lang w:val="en-US"/>
        </w:rPr>
      </w:pPr>
    </w:p>
    <w:p w:rsidR="00D97C7B" w:rsidRPr="00304CE3" w:rsidRDefault="00D97C7B">
      <w:pPr>
        <w:pStyle w:val="EYBodytextsubhead1"/>
        <w:tabs>
          <w:tab w:val="clear" w:pos="907"/>
          <w:tab w:val="left" w:pos="2548"/>
          <w:tab w:val="left" w:pos="6162"/>
        </w:tabs>
        <w:spacing w:after="0" w:line="240" w:lineRule="auto"/>
        <w:ind w:right="-85"/>
        <w:rPr>
          <w:rFonts w:ascii="Arial" w:hAnsi="Arial" w:cs="Arial"/>
          <w:b w:val="0"/>
          <w:sz w:val="16"/>
          <w:szCs w:val="16"/>
          <w:lang w:val="en-US"/>
        </w:rPr>
      </w:pPr>
    </w:p>
    <w:p w:rsidR="00E506FD" w:rsidRPr="00444720" w:rsidRDefault="00E506FD" w:rsidP="00444720">
      <w:pPr>
        <w:pStyle w:val="Default"/>
        <w:rPr>
          <w:b/>
          <w:bCs/>
          <w:sz w:val="28"/>
          <w:szCs w:val="28"/>
        </w:rPr>
      </w:pPr>
      <w:r w:rsidRPr="00444720">
        <w:rPr>
          <w:b/>
          <w:bCs/>
          <w:sz w:val="28"/>
          <w:szCs w:val="28"/>
        </w:rPr>
        <w:t xml:space="preserve">Privatizations to be a key driver for the rest of the </w:t>
      </w:r>
      <w:r w:rsidR="00444720" w:rsidRPr="00444720">
        <w:rPr>
          <w:b/>
          <w:bCs/>
          <w:sz w:val="28"/>
          <w:szCs w:val="28"/>
        </w:rPr>
        <w:t>2011</w:t>
      </w:r>
    </w:p>
    <w:p w:rsidR="00E506FD" w:rsidRPr="00E506FD" w:rsidRDefault="00E506FD" w:rsidP="00E506FD">
      <w:pPr>
        <w:pStyle w:val="Default"/>
        <w:rPr>
          <w:b/>
          <w:bCs/>
          <w:sz w:val="28"/>
          <w:szCs w:val="28"/>
        </w:rPr>
      </w:pPr>
    </w:p>
    <w:p w:rsidR="00085584" w:rsidRPr="00085584" w:rsidRDefault="00E506FD" w:rsidP="00085584">
      <w:pPr>
        <w:pStyle w:val="EYBodytextwithparaspace"/>
        <w:spacing w:before="120"/>
        <w:rPr>
          <w:rFonts w:cs="Arial"/>
          <w:b/>
          <w:szCs w:val="22"/>
        </w:rPr>
      </w:pPr>
      <w:r>
        <w:rPr>
          <w:i/>
          <w:lang w:val="en-US"/>
        </w:rPr>
        <w:t>Prague</w:t>
      </w:r>
      <w:r w:rsidRPr="0056103C">
        <w:rPr>
          <w:i/>
          <w:lang w:val="en-US"/>
        </w:rPr>
        <w:t xml:space="preserve">, </w:t>
      </w:r>
      <w:r w:rsidR="009C5701">
        <w:rPr>
          <w:i/>
          <w:lang w:val="en-US"/>
        </w:rPr>
        <w:t>24</w:t>
      </w:r>
      <w:r>
        <w:rPr>
          <w:i/>
          <w:lang w:val="en-US"/>
        </w:rPr>
        <w:t xml:space="preserve"> March 2011 </w:t>
      </w:r>
      <w:r w:rsidRPr="0056103C">
        <w:rPr>
          <w:lang w:val="en-US"/>
        </w:rPr>
        <w:t>–</w:t>
      </w:r>
      <w:r>
        <w:rPr>
          <w:lang w:val="en-US"/>
        </w:rPr>
        <w:t xml:space="preserve"> </w:t>
      </w:r>
      <w:r w:rsidRPr="00CE6619">
        <w:rPr>
          <w:b/>
          <w:lang w:val="en-US"/>
        </w:rPr>
        <w:t>G</w:t>
      </w:r>
      <w:proofErr w:type="spellStart"/>
      <w:r w:rsidRPr="00CE6619">
        <w:rPr>
          <w:rFonts w:cs="Arial"/>
          <w:b/>
          <w:szCs w:val="22"/>
        </w:rPr>
        <w:t>lobal</w:t>
      </w:r>
      <w:proofErr w:type="spellEnd"/>
      <w:r w:rsidRPr="00CE6619">
        <w:rPr>
          <w:b/>
          <w:lang w:val="en-US"/>
        </w:rPr>
        <w:t xml:space="preserve"> IPO market activity is off to a record start</w:t>
      </w:r>
      <w:r w:rsidRPr="00CE6619">
        <w:rPr>
          <w:rFonts w:cs="Arial"/>
          <w:b/>
        </w:rPr>
        <w:t xml:space="preserve"> in the first two months of 2011 with US$25.3 billion raised in 193 deals.</w:t>
      </w:r>
      <w:r w:rsidRPr="00CE6619">
        <w:rPr>
          <w:b/>
          <w:lang w:val="en-US"/>
        </w:rPr>
        <w:t xml:space="preserve"> </w:t>
      </w:r>
      <w:r w:rsidRPr="00CE6619">
        <w:rPr>
          <w:rFonts w:cs="Arial"/>
          <w:b/>
          <w:szCs w:val="22"/>
        </w:rPr>
        <w:t xml:space="preserve">Global investors seeking to capitalize on the emerging markets growth story have been fuelling stock markets rallies and new listings world-wide. </w:t>
      </w:r>
      <w:r w:rsidR="00085584" w:rsidRPr="00085584">
        <w:rPr>
          <w:rFonts w:cs="Arial"/>
          <w:b/>
          <w:szCs w:val="22"/>
        </w:rPr>
        <w:t xml:space="preserve">This is according to Ernst &amp; Young’s </w:t>
      </w:r>
      <w:r w:rsidR="00085584" w:rsidRPr="00085584">
        <w:rPr>
          <w:rFonts w:cs="Arial"/>
          <w:b/>
          <w:i/>
          <w:szCs w:val="22"/>
        </w:rPr>
        <w:t>Global IPO trends report 2011</w:t>
      </w:r>
      <w:r w:rsidR="00085584" w:rsidRPr="00085584">
        <w:rPr>
          <w:rFonts w:cs="Arial"/>
          <w:b/>
          <w:szCs w:val="22"/>
        </w:rPr>
        <w:t xml:space="preserve">. The report highlights the market outlook for IPO markets in 2011 and analyzes the key trends of 2010. </w:t>
      </w:r>
    </w:p>
    <w:p w:rsidR="00E506FD" w:rsidRPr="00085584" w:rsidRDefault="00E506FD" w:rsidP="00E506FD">
      <w:pPr>
        <w:pStyle w:val="EYBodytextwithparaspace"/>
        <w:spacing w:before="120" w:after="0"/>
        <w:ind w:left="45"/>
        <w:rPr>
          <w:rFonts w:cs="Arial"/>
          <w:szCs w:val="22"/>
        </w:rPr>
      </w:pPr>
      <w:r w:rsidRPr="00085584">
        <w:rPr>
          <w:rFonts w:cs="Arial"/>
          <w:szCs w:val="22"/>
        </w:rPr>
        <w:t xml:space="preserve">A number of key factors have driven this level of IPO activity, including state privatizations, multinational spin-offs, and companies in the natural resources (including oil and gas), industrial/infrastructure and technology sectors. </w:t>
      </w:r>
    </w:p>
    <w:p w:rsidR="00EA026E" w:rsidRDefault="00EA026E" w:rsidP="00EA026E">
      <w:pPr>
        <w:autoSpaceDE w:val="0"/>
        <w:autoSpaceDN w:val="0"/>
        <w:adjustRightInd w:val="0"/>
        <w:spacing w:line="360" w:lineRule="auto"/>
        <w:rPr>
          <w:rFonts w:ascii="Arial" w:hAnsi="Arial" w:cs="Arial"/>
          <w:kern w:val="12"/>
          <w:sz w:val="22"/>
          <w:szCs w:val="22"/>
          <w:lang w:val="en-GB"/>
        </w:rPr>
      </w:pPr>
    </w:p>
    <w:p w:rsidR="00E506FD" w:rsidRPr="00EA026E" w:rsidRDefault="00EA026E" w:rsidP="00EA026E">
      <w:pPr>
        <w:autoSpaceDE w:val="0"/>
        <w:autoSpaceDN w:val="0"/>
        <w:adjustRightInd w:val="0"/>
        <w:spacing w:line="360" w:lineRule="auto"/>
        <w:rPr>
          <w:rFonts w:ascii="Arial" w:hAnsi="Arial" w:cs="Arial"/>
          <w:i/>
          <w:kern w:val="12"/>
          <w:sz w:val="22"/>
          <w:szCs w:val="22"/>
          <w:lang w:val="en-GB"/>
        </w:rPr>
      </w:pPr>
      <w:r w:rsidRPr="00EA026E">
        <w:rPr>
          <w:rFonts w:ascii="Arial" w:hAnsi="Arial" w:cs="Arial"/>
          <w:kern w:val="12"/>
          <w:sz w:val="22"/>
          <w:szCs w:val="22"/>
          <w:lang w:val="en-GB"/>
        </w:rPr>
        <w:t>P</w:t>
      </w:r>
      <w:r w:rsidR="00E2123E">
        <w:rPr>
          <w:rFonts w:ascii="Arial" w:hAnsi="Arial" w:cs="Arial"/>
          <w:kern w:val="12"/>
          <w:sz w:val="22"/>
          <w:szCs w:val="22"/>
          <w:lang w:val="en-GB"/>
        </w:rPr>
        <w:t>eter Wells, P</w:t>
      </w:r>
      <w:r w:rsidRPr="00EA026E">
        <w:rPr>
          <w:rFonts w:ascii="Arial" w:hAnsi="Arial" w:cs="Arial"/>
          <w:kern w:val="12"/>
          <w:sz w:val="22"/>
          <w:szCs w:val="22"/>
          <w:lang w:val="en-GB"/>
        </w:rPr>
        <w:t xml:space="preserve">artner in Ernst &amp; Young’s Transaction Advisory Services in Czech Republic </w:t>
      </w:r>
      <w:r w:rsidR="00E506FD" w:rsidRPr="00EA026E">
        <w:rPr>
          <w:rFonts w:ascii="Arial" w:hAnsi="Arial" w:cs="Arial"/>
          <w:kern w:val="12"/>
          <w:sz w:val="22"/>
          <w:szCs w:val="22"/>
          <w:lang w:val="en-GB"/>
        </w:rPr>
        <w:t xml:space="preserve">comments: </w:t>
      </w:r>
      <w:r w:rsidR="00E506FD" w:rsidRPr="00EA026E">
        <w:rPr>
          <w:rFonts w:ascii="Arial" w:hAnsi="Arial" w:cs="Arial"/>
          <w:i/>
          <w:kern w:val="12"/>
          <w:sz w:val="22"/>
          <w:szCs w:val="22"/>
          <w:lang w:val="en-GB"/>
        </w:rPr>
        <w:t>“The shortage of exit routes, the lack of capital-raising and the numerous listing postponements since the financial crisis began in 2007 have created a growing IPO pipeline worldwide. The secondary-market momentum is also expected to continue as companies ramp up their capitalization to record levels, particularly to support acquisitions.</w:t>
      </w:r>
    </w:p>
    <w:p w:rsidR="0078277F" w:rsidRDefault="0078277F" w:rsidP="0078277F">
      <w:pPr>
        <w:spacing w:line="360" w:lineRule="auto"/>
        <w:rPr>
          <w:rFonts w:ascii="Arial" w:hAnsi="Arial" w:cs="Arial"/>
          <w:i/>
          <w:kern w:val="12"/>
          <w:sz w:val="22"/>
          <w:szCs w:val="22"/>
          <w:lang w:val="en-GB"/>
        </w:rPr>
      </w:pPr>
    </w:p>
    <w:p w:rsidR="002D5CCE" w:rsidRPr="001854E1" w:rsidRDefault="00E506FD" w:rsidP="002D5CCE">
      <w:pPr>
        <w:autoSpaceDE w:val="0"/>
        <w:autoSpaceDN w:val="0"/>
        <w:adjustRightInd w:val="0"/>
        <w:spacing w:line="360" w:lineRule="auto"/>
        <w:rPr>
          <w:rFonts w:ascii="Arial" w:hAnsi="Arial" w:cs="Arial"/>
          <w:sz w:val="22"/>
          <w:szCs w:val="22"/>
          <w:lang w:eastAsia="en-GB"/>
        </w:rPr>
      </w:pPr>
      <w:r w:rsidRPr="00EA026E">
        <w:rPr>
          <w:rFonts w:ascii="Arial" w:hAnsi="Arial" w:cs="Arial"/>
          <w:i/>
          <w:kern w:val="12"/>
          <w:sz w:val="22"/>
          <w:szCs w:val="22"/>
          <w:lang w:val="en-GB"/>
        </w:rPr>
        <w:t>“Reflecting growing investor confidence around equity valuations and sharpened risk appetites, IPOs are expected in an even greater variety of sectors and geographies, not just in the BRIC countries but also other emerging markets such as Southeast Asia, E</w:t>
      </w:r>
      <w:r w:rsidR="003F2A45">
        <w:rPr>
          <w:rFonts w:ascii="Arial" w:hAnsi="Arial" w:cs="Arial"/>
          <w:i/>
          <w:kern w:val="12"/>
          <w:sz w:val="22"/>
          <w:szCs w:val="22"/>
          <w:lang w:val="en-GB"/>
        </w:rPr>
        <w:t>astern Europe and Latin America,</w:t>
      </w:r>
      <w:r w:rsidRPr="00EA026E">
        <w:rPr>
          <w:rFonts w:ascii="Arial" w:hAnsi="Arial" w:cs="Arial"/>
          <w:i/>
          <w:kern w:val="12"/>
          <w:sz w:val="22"/>
          <w:szCs w:val="22"/>
          <w:lang w:val="en-GB"/>
        </w:rPr>
        <w:t xml:space="preserve">” </w:t>
      </w:r>
      <w:r w:rsidR="003F2A45" w:rsidRPr="003F2A45">
        <w:rPr>
          <w:rFonts w:ascii="Arial" w:hAnsi="Arial" w:cs="Arial"/>
          <w:kern w:val="12"/>
          <w:sz w:val="22"/>
          <w:szCs w:val="22"/>
          <w:lang w:val="en-GB"/>
        </w:rPr>
        <w:t xml:space="preserve">adds </w:t>
      </w:r>
      <w:r w:rsidR="002D5CCE">
        <w:rPr>
          <w:rFonts w:ascii="Arial" w:hAnsi="Arial" w:cs="Arial"/>
          <w:sz w:val="22"/>
          <w:szCs w:val="22"/>
        </w:rPr>
        <w:t>Petr Kříž</w:t>
      </w:r>
      <w:r w:rsidR="002D5CCE" w:rsidRPr="009874A0">
        <w:rPr>
          <w:rFonts w:ascii="Arial" w:hAnsi="Arial" w:cs="Arial"/>
          <w:sz w:val="22"/>
          <w:szCs w:val="22"/>
        </w:rPr>
        <w:t xml:space="preserve">, </w:t>
      </w:r>
      <w:proofErr w:type="spellStart"/>
      <w:r w:rsidR="002D5CCE">
        <w:rPr>
          <w:rFonts w:ascii="Arial" w:hAnsi="Arial" w:cs="Arial"/>
          <w:sz w:val="22"/>
          <w:szCs w:val="22"/>
        </w:rPr>
        <w:t>Executive</w:t>
      </w:r>
      <w:proofErr w:type="spellEnd"/>
      <w:r w:rsidR="002D5CCE">
        <w:rPr>
          <w:rFonts w:ascii="Arial" w:hAnsi="Arial" w:cs="Arial"/>
          <w:sz w:val="22"/>
          <w:szCs w:val="22"/>
        </w:rPr>
        <w:t xml:space="preserve"> </w:t>
      </w:r>
      <w:proofErr w:type="spellStart"/>
      <w:r w:rsidR="002D5CCE">
        <w:rPr>
          <w:rFonts w:ascii="Arial" w:hAnsi="Arial" w:cs="Arial"/>
          <w:sz w:val="22"/>
          <w:szCs w:val="22"/>
        </w:rPr>
        <w:t>Director</w:t>
      </w:r>
      <w:proofErr w:type="spellEnd"/>
      <w:r w:rsidR="002D5CCE" w:rsidRPr="009874A0">
        <w:rPr>
          <w:rFonts w:ascii="Arial" w:hAnsi="Arial" w:cs="Arial"/>
          <w:sz w:val="22"/>
          <w:szCs w:val="22"/>
        </w:rPr>
        <w:t xml:space="preserve"> in Ernst &amp; </w:t>
      </w:r>
      <w:proofErr w:type="spellStart"/>
      <w:r w:rsidR="002D5CCE" w:rsidRPr="009874A0">
        <w:rPr>
          <w:rFonts w:ascii="Arial" w:hAnsi="Arial" w:cs="Arial"/>
          <w:sz w:val="22"/>
          <w:szCs w:val="22"/>
        </w:rPr>
        <w:t>Young’s</w:t>
      </w:r>
      <w:proofErr w:type="spellEnd"/>
      <w:r w:rsidR="002D5CCE" w:rsidRPr="009874A0">
        <w:rPr>
          <w:rFonts w:ascii="Arial" w:hAnsi="Arial" w:cs="Arial"/>
          <w:sz w:val="22"/>
          <w:szCs w:val="22"/>
        </w:rPr>
        <w:t xml:space="preserve"> </w:t>
      </w:r>
      <w:proofErr w:type="spellStart"/>
      <w:r w:rsidR="002D5CCE" w:rsidRPr="009874A0">
        <w:rPr>
          <w:rFonts w:ascii="Arial" w:hAnsi="Arial" w:cs="Arial"/>
          <w:sz w:val="22"/>
          <w:szCs w:val="22"/>
        </w:rPr>
        <w:t>Transaction</w:t>
      </w:r>
      <w:proofErr w:type="spellEnd"/>
      <w:r w:rsidR="002D5CCE" w:rsidRPr="009874A0">
        <w:rPr>
          <w:rFonts w:ascii="Arial" w:hAnsi="Arial" w:cs="Arial"/>
          <w:sz w:val="22"/>
          <w:szCs w:val="22"/>
        </w:rPr>
        <w:t xml:space="preserve"> </w:t>
      </w:r>
      <w:proofErr w:type="spellStart"/>
      <w:r w:rsidR="002D5CCE" w:rsidRPr="009874A0">
        <w:rPr>
          <w:rFonts w:ascii="Arial" w:hAnsi="Arial" w:cs="Arial"/>
          <w:sz w:val="22"/>
          <w:szCs w:val="22"/>
        </w:rPr>
        <w:t>Advisory</w:t>
      </w:r>
      <w:proofErr w:type="spellEnd"/>
      <w:r w:rsidR="002D5CCE" w:rsidRPr="009874A0">
        <w:rPr>
          <w:rFonts w:ascii="Arial" w:hAnsi="Arial" w:cs="Arial"/>
          <w:sz w:val="22"/>
          <w:szCs w:val="22"/>
        </w:rPr>
        <w:t xml:space="preserve"> </w:t>
      </w:r>
      <w:proofErr w:type="spellStart"/>
      <w:r w:rsidR="002D5CCE" w:rsidRPr="009874A0">
        <w:rPr>
          <w:rFonts w:ascii="Arial" w:hAnsi="Arial" w:cs="Arial"/>
          <w:sz w:val="22"/>
          <w:szCs w:val="22"/>
        </w:rPr>
        <w:t>Services</w:t>
      </w:r>
      <w:proofErr w:type="spellEnd"/>
      <w:r w:rsidR="002D5CCE" w:rsidRPr="009874A0">
        <w:rPr>
          <w:rFonts w:ascii="Arial" w:hAnsi="Arial" w:cs="Arial"/>
          <w:sz w:val="22"/>
          <w:szCs w:val="22"/>
        </w:rPr>
        <w:t xml:space="preserve"> team in </w:t>
      </w:r>
      <w:proofErr w:type="spellStart"/>
      <w:r w:rsidR="002D5CCE" w:rsidRPr="009874A0">
        <w:rPr>
          <w:rFonts w:ascii="Arial" w:hAnsi="Arial" w:cs="Arial"/>
          <w:sz w:val="22"/>
          <w:szCs w:val="22"/>
        </w:rPr>
        <w:t>Czech</w:t>
      </w:r>
      <w:proofErr w:type="spellEnd"/>
      <w:r w:rsidR="002D5CCE" w:rsidRPr="009874A0">
        <w:rPr>
          <w:rFonts w:ascii="Arial" w:hAnsi="Arial" w:cs="Arial"/>
          <w:sz w:val="22"/>
          <w:szCs w:val="22"/>
        </w:rPr>
        <w:t xml:space="preserve"> </w:t>
      </w:r>
      <w:proofErr w:type="spellStart"/>
      <w:r w:rsidR="002D5CCE" w:rsidRPr="009874A0">
        <w:rPr>
          <w:rFonts w:ascii="Arial" w:hAnsi="Arial" w:cs="Arial"/>
          <w:sz w:val="22"/>
          <w:szCs w:val="22"/>
        </w:rPr>
        <w:t>Republic</w:t>
      </w:r>
      <w:proofErr w:type="spellEnd"/>
      <w:r w:rsidR="002D5CCE" w:rsidRPr="009874A0">
        <w:rPr>
          <w:rFonts w:ascii="Arial" w:hAnsi="Arial" w:cs="Arial"/>
          <w:sz w:val="22"/>
          <w:szCs w:val="22"/>
        </w:rPr>
        <w:t>.</w:t>
      </w:r>
      <w:r w:rsidR="002D5CCE" w:rsidRPr="00ED796B">
        <w:rPr>
          <w:rFonts w:ascii="Arial" w:hAnsi="Arial" w:cs="Arial"/>
          <w:sz w:val="22"/>
          <w:szCs w:val="22"/>
          <w:lang w:eastAsia="en-GB"/>
        </w:rPr>
        <w:t xml:space="preserve"> </w:t>
      </w:r>
    </w:p>
    <w:p w:rsidR="00E506FD" w:rsidRPr="00EA026E" w:rsidRDefault="00E506FD" w:rsidP="00E506FD">
      <w:pPr>
        <w:spacing w:after="240" w:line="360" w:lineRule="auto"/>
        <w:rPr>
          <w:rFonts w:ascii="Arial" w:hAnsi="Arial" w:cs="Arial"/>
          <w:i/>
          <w:kern w:val="12"/>
          <w:sz w:val="22"/>
          <w:szCs w:val="22"/>
          <w:lang w:val="en-GB"/>
        </w:rPr>
      </w:pPr>
    </w:p>
    <w:p w:rsidR="000352BF" w:rsidRPr="00DD5912" w:rsidRDefault="000352BF" w:rsidP="000352BF">
      <w:pPr>
        <w:pStyle w:val="EYBodytextwithparaspace"/>
        <w:spacing w:before="120" w:after="120"/>
        <w:rPr>
          <w:rFonts w:cs="Arial"/>
          <w:b/>
          <w:szCs w:val="22"/>
        </w:rPr>
      </w:pPr>
      <w:r w:rsidRPr="00DD5912">
        <w:rPr>
          <w:rFonts w:cs="Arial"/>
          <w:b/>
          <w:szCs w:val="22"/>
        </w:rPr>
        <w:t xml:space="preserve">European </w:t>
      </w:r>
      <w:r>
        <w:rPr>
          <w:rFonts w:cs="Arial"/>
          <w:b/>
          <w:szCs w:val="22"/>
        </w:rPr>
        <w:t xml:space="preserve">IPO </w:t>
      </w:r>
      <w:r w:rsidRPr="00DD5912">
        <w:rPr>
          <w:rFonts w:cs="Arial"/>
          <w:b/>
          <w:szCs w:val="22"/>
        </w:rPr>
        <w:t>outlook</w:t>
      </w:r>
    </w:p>
    <w:p w:rsidR="000352BF" w:rsidRDefault="000352BF" w:rsidP="000352BF">
      <w:pPr>
        <w:pStyle w:val="EYBodytextwithparaspace"/>
        <w:spacing w:before="120" w:after="120"/>
        <w:rPr>
          <w:rFonts w:cs="Arial"/>
          <w:szCs w:val="22"/>
        </w:rPr>
      </w:pPr>
      <w:r w:rsidRPr="00AB3DA7">
        <w:rPr>
          <w:rFonts w:cs="Arial"/>
          <w:szCs w:val="22"/>
        </w:rPr>
        <w:t>In the first two months</w:t>
      </w:r>
      <w:r>
        <w:rPr>
          <w:rFonts w:cs="Arial"/>
          <w:szCs w:val="22"/>
        </w:rPr>
        <w:t xml:space="preserve"> of 2011, European exchanges have</w:t>
      </w:r>
      <w:r w:rsidRPr="00AB3DA7">
        <w:rPr>
          <w:rFonts w:cs="Arial"/>
          <w:szCs w:val="22"/>
        </w:rPr>
        <w:t xml:space="preserve"> raised US$1.8b in 26 deals.</w:t>
      </w:r>
      <w:r>
        <w:rPr>
          <w:rFonts w:cs="Arial"/>
          <w:szCs w:val="22"/>
        </w:rPr>
        <w:t xml:space="preserve"> </w:t>
      </w:r>
      <w:r w:rsidR="00B86E67">
        <w:rPr>
          <w:rFonts w:cs="Arial"/>
          <w:szCs w:val="22"/>
        </w:rPr>
        <w:t xml:space="preserve">In 2010, the UK and Polish exchanges led European IPO markets. </w:t>
      </w:r>
      <w:r>
        <w:rPr>
          <w:rFonts w:cs="Arial"/>
          <w:szCs w:val="22"/>
        </w:rPr>
        <w:t xml:space="preserve">European investors are now investing into equities, as many believe that downside macroeconomic risks for the European market have already been priced into the markets. The 2011 pipeline of potential IPO candidates is strong. Large </w:t>
      </w:r>
      <w:r>
        <w:rPr>
          <w:rFonts w:cs="Arial"/>
          <w:szCs w:val="22"/>
        </w:rPr>
        <w:lastRenderedPageBreak/>
        <w:t xml:space="preserve">East European privatizations are anticipated as Polish, Czech Republic, and Russian government seek to finance their fiscal deficits.  </w:t>
      </w:r>
    </w:p>
    <w:p w:rsidR="000352BF" w:rsidRDefault="000352BF" w:rsidP="000352BF">
      <w:pPr>
        <w:pStyle w:val="EYBodytextwithparaspace"/>
        <w:spacing w:before="120"/>
        <w:rPr>
          <w:rFonts w:cs="Arial"/>
          <w:szCs w:val="22"/>
        </w:rPr>
      </w:pPr>
      <w:r>
        <w:rPr>
          <w:rFonts w:cs="Arial"/>
          <w:szCs w:val="22"/>
        </w:rPr>
        <w:t>In the UK, spinouts from banks both in the UK and overseas will lead to some of the largest IPOs. The LSE Main market will also launch cross-border listings from emerging market-</w:t>
      </w:r>
      <w:r>
        <w:rPr>
          <w:rFonts w:cs="Arial"/>
          <w:szCs w:val="22"/>
        </w:rPr>
        <w:br/>
      </w:r>
      <w:r>
        <w:rPr>
          <w:rFonts w:cs="Arial"/>
          <w:szCs w:val="22"/>
        </w:rPr>
        <w:br/>
        <w:t xml:space="preserve">facing companies, particularly in the energy and power sectors. Germany’s IPO markets are also expected to pick up, with approximately 20 small cap IPOs in diverse industries expected to list on the less-regulated “Entry Standard” segment of the Deutsche </w:t>
      </w:r>
      <w:proofErr w:type="spellStart"/>
      <w:r>
        <w:rPr>
          <w:rFonts w:cs="Arial"/>
          <w:szCs w:val="22"/>
        </w:rPr>
        <w:t>Borse</w:t>
      </w:r>
      <w:proofErr w:type="spellEnd"/>
      <w:r>
        <w:rPr>
          <w:rFonts w:cs="Arial"/>
          <w:szCs w:val="22"/>
        </w:rPr>
        <w:t>.</w:t>
      </w:r>
    </w:p>
    <w:p w:rsidR="000352BF" w:rsidRDefault="00E2123E" w:rsidP="000352BF">
      <w:pPr>
        <w:pStyle w:val="EYBodytextwithparaspace"/>
        <w:spacing w:before="120" w:after="120"/>
        <w:rPr>
          <w:rFonts w:cs="Arial"/>
          <w:i/>
          <w:szCs w:val="22"/>
        </w:rPr>
      </w:pPr>
      <w:r>
        <w:rPr>
          <w:rFonts w:cs="Arial"/>
          <w:szCs w:val="22"/>
        </w:rPr>
        <w:t>Peter Wells</w:t>
      </w:r>
      <w:r w:rsidR="000352BF">
        <w:rPr>
          <w:rFonts w:cs="Arial"/>
          <w:szCs w:val="22"/>
        </w:rPr>
        <w:t xml:space="preserve"> concludes: </w:t>
      </w:r>
      <w:r w:rsidR="000352BF" w:rsidRPr="00CE6619">
        <w:rPr>
          <w:rFonts w:cs="Arial"/>
          <w:i/>
          <w:szCs w:val="22"/>
        </w:rPr>
        <w:t xml:space="preserve">“Although the first two months to 2011 has seen a record start, the current upward trajectory may not necessarily be smooth as global macroeconomic risks could yield further market volatility. However, barring another unforeseeable crisis, 2011 global IPO markets are expected to be stronger than in 2010.” </w:t>
      </w:r>
    </w:p>
    <w:p w:rsidR="003F2A45" w:rsidRPr="00CE6619" w:rsidRDefault="003F2A45" w:rsidP="000352BF">
      <w:pPr>
        <w:pStyle w:val="EYBodytextwithparaspace"/>
        <w:spacing w:before="120" w:after="120"/>
        <w:rPr>
          <w:rFonts w:cs="Arial"/>
          <w:i/>
          <w:szCs w:val="22"/>
        </w:rPr>
      </w:pPr>
    </w:p>
    <w:p w:rsidR="000352BF" w:rsidRDefault="000352BF" w:rsidP="000352BF">
      <w:pPr>
        <w:pStyle w:val="EYBodytextwithparaspace"/>
        <w:spacing w:before="120" w:after="120"/>
        <w:rPr>
          <w:rFonts w:cs="Arial"/>
          <w:b/>
          <w:szCs w:val="22"/>
        </w:rPr>
      </w:pPr>
      <w:r w:rsidRPr="00DD5912">
        <w:rPr>
          <w:rFonts w:cs="Arial"/>
          <w:b/>
          <w:szCs w:val="22"/>
        </w:rPr>
        <w:t xml:space="preserve">America’s </w:t>
      </w:r>
      <w:r>
        <w:rPr>
          <w:rFonts w:cs="Arial"/>
          <w:b/>
          <w:szCs w:val="22"/>
        </w:rPr>
        <w:t xml:space="preserve">IPO </w:t>
      </w:r>
      <w:r w:rsidRPr="00DD5912">
        <w:rPr>
          <w:rFonts w:cs="Arial"/>
          <w:b/>
          <w:szCs w:val="22"/>
        </w:rPr>
        <w:t>outlook</w:t>
      </w:r>
    </w:p>
    <w:p w:rsidR="000352BF" w:rsidRDefault="000352BF" w:rsidP="000352BF">
      <w:pPr>
        <w:pStyle w:val="EYBodytextwithparaspace"/>
        <w:spacing w:after="120"/>
        <w:rPr>
          <w:rFonts w:cs="Arial"/>
          <w:szCs w:val="22"/>
        </w:rPr>
      </w:pPr>
      <w:r w:rsidRPr="00AB3DA7">
        <w:rPr>
          <w:rFonts w:cs="Arial"/>
          <w:szCs w:val="22"/>
        </w:rPr>
        <w:t>In the first two mont</w:t>
      </w:r>
      <w:r>
        <w:rPr>
          <w:rFonts w:cs="Arial"/>
          <w:szCs w:val="22"/>
        </w:rPr>
        <w:t>hs of 2011, the US exchanges have</w:t>
      </w:r>
      <w:r w:rsidRPr="00AB3DA7">
        <w:rPr>
          <w:rFonts w:cs="Arial"/>
          <w:szCs w:val="22"/>
        </w:rPr>
        <w:t xml:space="preserve"> raised US$9.0 billion in 26 deals. At the end of February 2011, the US backlog contained about 150 companies, which are expected to raise around US$42b. The pipeline includes PE- and VC-backed companies,</w:t>
      </w:r>
      <w:r>
        <w:rPr>
          <w:rFonts w:cs="Arial"/>
          <w:szCs w:val="22"/>
        </w:rPr>
        <w:t xml:space="preserve"> fast growth companies in technology, health care and real estate, companies based in China, large company spin-offs and US companies backed by funds from the US government’s Troubled Asset Relief Program (TARP). The 2011 PE-backed IPO energy company Kinder Morgan’s US$3.3 b is the largest PE-backed IPO ever seen in the US and will likely continue the trend of financial sponsored offerings. </w:t>
      </w:r>
    </w:p>
    <w:p w:rsidR="000352BF" w:rsidRPr="00DD5912" w:rsidRDefault="000352BF" w:rsidP="000352BF">
      <w:pPr>
        <w:pStyle w:val="EYBodytextwithparaspace"/>
        <w:spacing w:before="120"/>
        <w:rPr>
          <w:rFonts w:cs="Arial"/>
          <w:szCs w:val="22"/>
        </w:rPr>
      </w:pPr>
      <w:r>
        <w:rPr>
          <w:rFonts w:cs="Arial"/>
          <w:szCs w:val="22"/>
        </w:rPr>
        <w:t xml:space="preserve">Brazil: In 2011, despite rising inflation and poor after-market performance, Brazil expects about 30 IPOs with an average deal size of US$500 million, particularly in the retail, oil and gas and mining sectors. </w:t>
      </w:r>
    </w:p>
    <w:p w:rsidR="00E506FD" w:rsidRPr="00DD5912" w:rsidRDefault="00E506FD" w:rsidP="00E506FD">
      <w:pPr>
        <w:pStyle w:val="EYBodytextwithparaspace"/>
        <w:spacing w:before="120" w:after="120"/>
        <w:rPr>
          <w:rFonts w:cs="Arial"/>
          <w:b/>
          <w:szCs w:val="22"/>
        </w:rPr>
      </w:pPr>
      <w:r w:rsidRPr="00DD5912">
        <w:rPr>
          <w:rFonts w:cs="Arial"/>
          <w:b/>
          <w:szCs w:val="22"/>
        </w:rPr>
        <w:t>2011 Asian IPO outlook</w:t>
      </w:r>
    </w:p>
    <w:p w:rsidR="00E506FD" w:rsidRDefault="00E506FD" w:rsidP="00E506FD">
      <w:pPr>
        <w:pStyle w:val="EYBodytextwithparaspace"/>
        <w:spacing w:before="120" w:after="120"/>
        <w:rPr>
          <w:rFonts w:cs="Arial"/>
          <w:szCs w:val="22"/>
        </w:rPr>
      </w:pPr>
      <w:r w:rsidRPr="00AB3DA7">
        <w:rPr>
          <w:rFonts w:cs="Arial"/>
          <w:szCs w:val="22"/>
        </w:rPr>
        <w:t xml:space="preserve">Greater China:  In 2011, Greater China looks set to maintain its leadership of global IPO markets. </w:t>
      </w:r>
      <w:r>
        <w:rPr>
          <w:rFonts w:cs="Arial"/>
          <w:szCs w:val="22"/>
        </w:rPr>
        <w:t>In the first two months of 2011</w:t>
      </w:r>
      <w:r w:rsidRPr="00AB3DA7">
        <w:rPr>
          <w:rFonts w:cs="Arial"/>
          <w:szCs w:val="22"/>
        </w:rPr>
        <w:t>, Shanghai Stock Exchange raised US$4.0b from 8 IPOs and the Shenzhen Stock E</w:t>
      </w:r>
      <w:r>
        <w:rPr>
          <w:rFonts w:cs="Arial"/>
          <w:szCs w:val="22"/>
        </w:rPr>
        <w:t>xchange</w:t>
      </w:r>
      <w:r w:rsidRPr="00AB3DA7">
        <w:rPr>
          <w:rFonts w:cs="Arial"/>
          <w:szCs w:val="22"/>
        </w:rPr>
        <w:t xml:space="preserve"> raised US$6.5b, with 51 IPOs (22 from SME and 29 from Chi-next</w:t>
      </w:r>
      <w:r>
        <w:rPr>
          <w:rFonts w:cs="Arial"/>
          <w:szCs w:val="22"/>
        </w:rPr>
        <w:t>)</w:t>
      </w:r>
      <w:r w:rsidRPr="00AB3DA7">
        <w:rPr>
          <w:rFonts w:cs="Arial"/>
          <w:szCs w:val="22"/>
        </w:rPr>
        <w:t>.</w:t>
      </w:r>
      <w:r w:rsidRPr="008A1093">
        <w:rPr>
          <w:rFonts w:cs="Arial"/>
          <w:szCs w:val="22"/>
        </w:rPr>
        <w:t xml:space="preserve"> </w:t>
      </w:r>
    </w:p>
    <w:p w:rsidR="00E506FD" w:rsidRDefault="00E506FD" w:rsidP="00E506FD">
      <w:pPr>
        <w:pStyle w:val="EYBodytextwithparaspace"/>
        <w:spacing w:before="120" w:after="120"/>
        <w:rPr>
          <w:rFonts w:cs="Arial"/>
          <w:szCs w:val="22"/>
        </w:rPr>
      </w:pPr>
      <w:r w:rsidRPr="00AB3DA7">
        <w:rPr>
          <w:rFonts w:cs="Arial"/>
          <w:szCs w:val="22"/>
        </w:rPr>
        <w:t>On the Hong Kong Stock Exchange (</w:t>
      </w:r>
      <w:proofErr w:type="spellStart"/>
      <w:r w:rsidRPr="00AB3DA7">
        <w:rPr>
          <w:rFonts w:cs="Arial"/>
          <w:szCs w:val="22"/>
        </w:rPr>
        <w:t>HKEx</w:t>
      </w:r>
      <w:proofErr w:type="spellEnd"/>
      <w:r w:rsidRPr="00AB3DA7">
        <w:rPr>
          <w:rFonts w:cs="Arial"/>
          <w:szCs w:val="22"/>
        </w:rPr>
        <w:t>),</w:t>
      </w:r>
      <w:r>
        <w:rPr>
          <w:rFonts w:cs="Arial"/>
          <w:szCs w:val="22"/>
        </w:rPr>
        <w:t xml:space="preserve"> total fund-raising is expected </w:t>
      </w:r>
      <w:r w:rsidRPr="00AB3DA7">
        <w:rPr>
          <w:rFonts w:cs="Arial"/>
          <w:szCs w:val="22"/>
        </w:rPr>
        <w:t xml:space="preserve">to exceed US$50b, and </w:t>
      </w:r>
      <w:r>
        <w:rPr>
          <w:rFonts w:cs="Arial"/>
          <w:szCs w:val="22"/>
        </w:rPr>
        <w:t>to c</w:t>
      </w:r>
      <w:r w:rsidRPr="00AB3DA7">
        <w:rPr>
          <w:rFonts w:cs="Arial"/>
          <w:szCs w:val="22"/>
        </w:rPr>
        <w:t>ontinue attract</w:t>
      </w:r>
      <w:r>
        <w:rPr>
          <w:rFonts w:cs="Arial"/>
          <w:szCs w:val="22"/>
        </w:rPr>
        <w:t>ing</w:t>
      </w:r>
      <w:r w:rsidRPr="00AB3DA7">
        <w:rPr>
          <w:rFonts w:cs="Arial"/>
          <w:szCs w:val="22"/>
        </w:rPr>
        <w:t xml:space="preserve"> more cross-border listings,</w:t>
      </w:r>
      <w:r w:rsidRPr="00DD5912">
        <w:rPr>
          <w:rFonts w:cs="Arial"/>
          <w:szCs w:val="22"/>
        </w:rPr>
        <w:t xml:space="preserve"> particularly natural resources companies. </w:t>
      </w:r>
    </w:p>
    <w:p w:rsidR="00E506FD" w:rsidRPr="00DD5912" w:rsidRDefault="00E506FD" w:rsidP="00E506FD">
      <w:pPr>
        <w:pStyle w:val="EYBodytextwithparaspace"/>
        <w:spacing w:before="120" w:after="120"/>
        <w:rPr>
          <w:rFonts w:cs="Arial"/>
          <w:szCs w:val="22"/>
        </w:rPr>
      </w:pPr>
      <w:r>
        <w:rPr>
          <w:rFonts w:cs="Arial"/>
          <w:szCs w:val="22"/>
        </w:rPr>
        <w:t xml:space="preserve">Continues </w:t>
      </w:r>
      <w:proofErr w:type="spellStart"/>
      <w:r w:rsidR="002D5CCE">
        <w:rPr>
          <w:rFonts w:cs="Arial"/>
          <w:szCs w:val="22"/>
        </w:rPr>
        <w:t>Petr</w:t>
      </w:r>
      <w:proofErr w:type="spellEnd"/>
      <w:r w:rsidR="002D5CCE">
        <w:rPr>
          <w:rFonts w:cs="Arial"/>
          <w:szCs w:val="22"/>
        </w:rPr>
        <w:t xml:space="preserve"> </w:t>
      </w:r>
      <w:proofErr w:type="spellStart"/>
      <w:r w:rsidR="002D5CCE">
        <w:rPr>
          <w:rFonts w:cs="Arial"/>
          <w:szCs w:val="22"/>
        </w:rPr>
        <w:t>Kříž</w:t>
      </w:r>
      <w:proofErr w:type="spellEnd"/>
      <w:r>
        <w:rPr>
          <w:rFonts w:cs="Arial"/>
          <w:szCs w:val="22"/>
        </w:rPr>
        <w:t xml:space="preserve">: </w:t>
      </w:r>
      <w:r w:rsidRPr="00CE6619">
        <w:rPr>
          <w:rFonts w:cs="Arial"/>
          <w:i/>
          <w:szCs w:val="22"/>
        </w:rPr>
        <w:t xml:space="preserve">“As the only Chinese exchange fully open to foreign investors, </w:t>
      </w:r>
      <w:proofErr w:type="spellStart"/>
      <w:r w:rsidRPr="00CE6619">
        <w:rPr>
          <w:rFonts w:cs="Arial"/>
          <w:i/>
          <w:szCs w:val="22"/>
        </w:rPr>
        <w:t>HKEx</w:t>
      </w:r>
      <w:proofErr w:type="spellEnd"/>
      <w:r w:rsidRPr="00CE6619">
        <w:rPr>
          <w:rFonts w:cs="Arial"/>
          <w:i/>
          <w:szCs w:val="22"/>
        </w:rPr>
        <w:t xml:space="preserve"> has become a platform for China-based companies with international ambitions who seek access to </w:t>
      </w:r>
      <w:r w:rsidRPr="00CE6619">
        <w:rPr>
          <w:rFonts w:cs="Arial"/>
          <w:i/>
          <w:szCs w:val="22"/>
        </w:rPr>
        <w:lastRenderedPageBreak/>
        <w:t xml:space="preserve">global funds.”  </w:t>
      </w:r>
      <w:r w:rsidRPr="00AB3DA7">
        <w:rPr>
          <w:rFonts w:cs="Arial"/>
          <w:szCs w:val="22"/>
        </w:rPr>
        <w:t xml:space="preserve">In 2011, the Greater China </w:t>
      </w:r>
      <w:r>
        <w:rPr>
          <w:rFonts w:cs="Arial"/>
          <w:szCs w:val="22"/>
        </w:rPr>
        <w:t>IPO</w:t>
      </w:r>
      <w:r w:rsidRPr="00AB3DA7">
        <w:rPr>
          <w:rFonts w:cs="Arial"/>
          <w:szCs w:val="22"/>
        </w:rPr>
        <w:t xml:space="preserve"> pipeline</w:t>
      </w:r>
      <w:r>
        <w:rPr>
          <w:rFonts w:cs="Arial"/>
          <w:szCs w:val="22"/>
        </w:rPr>
        <w:t xml:space="preserve"> is a robust one containing some large state-owned enterprises, as well as numerous </w:t>
      </w:r>
      <w:r w:rsidRPr="00AB3DA7">
        <w:rPr>
          <w:rFonts w:cs="Arial"/>
          <w:szCs w:val="22"/>
        </w:rPr>
        <w:t xml:space="preserve">small and mid-sized enterprises in the consumer, infrastructure, clean technology and pharmaceutical sectors. </w:t>
      </w:r>
    </w:p>
    <w:p w:rsidR="00E506FD" w:rsidRDefault="00E506FD" w:rsidP="00E506FD">
      <w:pPr>
        <w:pStyle w:val="EYBodytextwithparaspace"/>
        <w:spacing w:before="120"/>
        <w:rPr>
          <w:rFonts w:cs="Arial"/>
          <w:szCs w:val="22"/>
        </w:rPr>
      </w:pPr>
      <w:r w:rsidRPr="00D142D9">
        <w:rPr>
          <w:rFonts w:cs="Arial"/>
          <w:szCs w:val="22"/>
        </w:rPr>
        <w:t>India: Propelled</w:t>
      </w:r>
      <w:r>
        <w:rPr>
          <w:rFonts w:cs="Arial"/>
          <w:szCs w:val="22"/>
        </w:rPr>
        <w:t xml:space="preserve"> by 8% GDP growth rate and healthy corporate earnings, India’s IPO markets continue their dramatic recovery. More than 100 Indian companies are expected to pursue IPOs and follow-on offerings, spurred by the country’s massive US$1 trillion infrastructure investment plan, and its US$10b Government privatization program. </w:t>
      </w:r>
    </w:p>
    <w:p w:rsidR="004418CB" w:rsidRPr="00304CE3" w:rsidRDefault="004418CB" w:rsidP="005E5E00">
      <w:pPr>
        <w:pStyle w:val="EYBodytextwithparaspace"/>
        <w:spacing w:after="0"/>
        <w:rPr>
          <w:b/>
          <w:sz w:val="18"/>
          <w:szCs w:val="18"/>
          <w:lang w:val="en-US"/>
        </w:rPr>
      </w:pPr>
    </w:p>
    <w:p w:rsidR="00492DD0" w:rsidRDefault="00492DD0" w:rsidP="00492DD0">
      <w:pPr>
        <w:ind w:right="-85"/>
        <w:rPr>
          <w:rFonts w:ascii="Arial" w:hAnsi="Arial" w:cs="Arial"/>
          <w:sz w:val="16"/>
          <w:szCs w:val="16"/>
        </w:rPr>
      </w:pPr>
      <w:proofErr w:type="spellStart"/>
      <w:r w:rsidRPr="00C0368F">
        <w:rPr>
          <w:rFonts w:ascii="Arial" w:hAnsi="Arial" w:cs="Arial"/>
          <w:b/>
          <w:i/>
          <w:sz w:val="16"/>
          <w:szCs w:val="16"/>
          <w:lang w:eastAsia="en-GB"/>
        </w:rPr>
        <w:t>About</w:t>
      </w:r>
      <w:proofErr w:type="spellEnd"/>
      <w:r w:rsidRPr="00C0368F">
        <w:rPr>
          <w:rFonts w:ascii="Arial" w:hAnsi="Arial" w:cs="Arial"/>
          <w:b/>
          <w:i/>
          <w:sz w:val="16"/>
          <w:szCs w:val="16"/>
          <w:lang w:eastAsia="en-GB"/>
        </w:rPr>
        <w:t xml:space="preserve"> Ernst &amp; Young</w:t>
      </w:r>
      <w:r w:rsidRPr="00C0368F">
        <w:rPr>
          <w:rFonts w:ascii="Arial" w:hAnsi="Arial" w:cs="Arial"/>
          <w:sz w:val="16"/>
          <w:szCs w:val="16"/>
        </w:rPr>
        <w:t xml:space="preserve"> </w:t>
      </w:r>
    </w:p>
    <w:p w:rsidR="00492DD0" w:rsidRPr="00492DD0" w:rsidRDefault="00492DD0" w:rsidP="00492DD0">
      <w:pPr>
        <w:ind w:right="-85"/>
        <w:rPr>
          <w:rFonts w:ascii="Arial" w:hAnsi="Arial"/>
          <w:kern w:val="12"/>
          <w:sz w:val="16"/>
          <w:szCs w:val="16"/>
          <w:lang w:val="en-US"/>
        </w:rPr>
      </w:pPr>
      <w:r w:rsidRPr="00492DD0">
        <w:rPr>
          <w:rFonts w:ascii="Arial" w:hAnsi="Arial"/>
          <w:kern w:val="12"/>
          <w:sz w:val="16"/>
          <w:szCs w:val="16"/>
          <w:lang w:val="en-US"/>
        </w:rPr>
        <w:t>Ernst &amp; Young is a global leader in assurance, tax, transaction and advisory services. Worldwide, our 141,000 people are united by our shared values and an unwavering commitment to quality. We make a difference by helping our people, our clients and our wider communities achieve their potential.</w:t>
      </w:r>
    </w:p>
    <w:p w:rsidR="00492DD0" w:rsidRPr="00492DD0" w:rsidRDefault="00492DD0" w:rsidP="00492DD0">
      <w:pPr>
        <w:ind w:right="-85"/>
        <w:rPr>
          <w:rFonts w:ascii="Arial" w:hAnsi="Arial"/>
          <w:kern w:val="12"/>
          <w:sz w:val="16"/>
          <w:szCs w:val="16"/>
          <w:lang w:val="en-US"/>
        </w:rPr>
      </w:pPr>
    </w:p>
    <w:p w:rsidR="00492DD0" w:rsidRPr="00492DD0" w:rsidRDefault="00492DD0" w:rsidP="00492DD0">
      <w:pPr>
        <w:ind w:right="-85"/>
        <w:rPr>
          <w:rFonts w:ascii="Arial" w:hAnsi="Arial"/>
          <w:kern w:val="12"/>
          <w:sz w:val="16"/>
          <w:szCs w:val="16"/>
          <w:lang w:val="en-US"/>
        </w:rPr>
      </w:pPr>
      <w:r w:rsidRPr="00492DD0">
        <w:rPr>
          <w:rFonts w:ascii="Arial" w:hAnsi="Arial"/>
          <w:kern w:val="12"/>
          <w:sz w:val="16"/>
          <w:szCs w:val="16"/>
          <w:lang w:val="en-US"/>
        </w:rPr>
        <w:t xml:space="preserve">Ernst &amp; Young refers to the global organization of member firms of Ernst &amp; Young Global Limited, each of which is a separate legal entity. Ernst &amp; Young Global Limited, a UK company limited by guarantee, does not provide services to clients. For more information about our organization, please visit </w:t>
      </w:r>
      <w:hyperlink r:id="rId7" w:history="1">
        <w:r w:rsidRPr="00492DD0">
          <w:rPr>
            <w:rStyle w:val="Hyperlink"/>
            <w:rFonts w:ascii="Arial" w:hAnsi="Arial"/>
            <w:kern w:val="12"/>
            <w:sz w:val="16"/>
            <w:szCs w:val="16"/>
            <w:lang w:val="en-US"/>
          </w:rPr>
          <w:t>www.ey.com</w:t>
        </w:r>
      </w:hyperlink>
      <w:r w:rsidRPr="00492DD0">
        <w:rPr>
          <w:rFonts w:ascii="Arial" w:hAnsi="Arial"/>
          <w:kern w:val="12"/>
          <w:sz w:val="16"/>
          <w:szCs w:val="16"/>
          <w:lang w:val="en-US"/>
        </w:rPr>
        <w:t xml:space="preserve">. </w:t>
      </w:r>
    </w:p>
    <w:p w:rsidR="00492DD0" w:rsidRPr="00492DD0" w:rsidRDefault="00492DD0" w:rsidP="00492DD0">
      <w:pPr>
        <w:ind w:right="-85"/>
        <w:rPr>
          <w:rFonts w:ascii="Arial" w:hAnsi="Arial"/>
          <w:kern w:val="12"/>
          <w:sz w:val="16"/>
          <w:szCs w:val="16"/>
          <w:lang w:val="en-US"/>
        </w:rPr>
      </w:pPr>
    </w:p>
    <w:p w:rsidR="00492DD0" w:rsidRPr="00492DD0" w:rsidRDefault="00492DD0" w:rsidP="00492DD0">
      <w:pPr>
        <w:ind w:right="-85"/>
        <w:rPr>
          <w:rFonts w:ascii="Arial" w:hAnsi="Arial"/>
          <w:kern w:val="12"/>
          <w:sz w:val="16"/>
          <w:szCs w:val="16"/>
          <w:lang w:val="en-US"/>
        </w:rPr>
      </w:pPr>
      <w:r w:rsidRPr="00492DD0">
        <w:rPr>
          <w:rFonts w:ascii="Arial" w:hAnsi="Arial"/>
          <w:kern w:val="12"/>
          <w:sz w:val="16"/>
          <w:szCs w:val="16"/>
          <w:lang w:val="en-US"/>
        </w:rPr>
        <w:t>This news release has been issued by EYGM Limited, a member of the global Ernst &amp; Young organization that also does not provide any services to clients.</w:t>
      </w:r>
    </w:p>
    <w:p w:rsidR="008A2E38" w:rsidRPr="00492DD0" w:rsidRDefault="008A2E38" w:rsidP="00E16959">
      <w:pPr>
        <w:ind w:right="-85"/>
        <w:rPr>
          <w:rFonts w:ascii="Arial" w:hAnsi="Arial" w:cs="Arial"/>
          <w:sz w:val="18"/>
          <w:szCs w:val="18"/>
          <w:lang w:val="en-US"/>
        </w:rPr>
      </w:pPr>
    </w:p>
    <w:sectPr w:rsidR="008A2E38" w:rsidRPr="00492DD0" w:rsidSect="00E27029">
      <w:headerReference w:type="default" r:id="rId8"/>
      <w:headerReference w:type="first" r:id="rId9"/>
      <w:footerReference w:type="first" r:id="rId10"/>
      <w:pgSz w:w="11907" w:h="16840" w:code="9"/>
      <w:pgMar w:top="2336" w:right="850" w:bottom="568"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E67" w:rsidRDefault="00B86E67">
      <w:r>
        <w:separator/>
      </w:r>
    </w:p>
  </w:endnote>
  <w:endnote w:type="continuationSeparator" w:id="0">
    <w:p w:rsidR="00B86E67" w:rsidRDefault="00B86E6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YInterstate">
    <w:panose1 w:val="02000503020000020004"/>
    <w:charset w:val="00"/>
    <w:family w:val="auto"/>
    <w:pitch w:val="variable"/>
    <w:sig w:usb0="A00002AF" w:usb1="5000206A"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old">
    <w:altName w:val="Times New Roman"/>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67" w:rsidRDefault="00B52716">
    <w:pPr>
      <w:pStyle w:val="Footer"/>
    </w:pPr>
    <w:r w:rsidRPr="00B52716">
      <w:rPr>
        <w:noProof/>
      </w:rPr>
      <w:pict>
        <v:shapetype id="_x0000_t202" coordsize="21600,21600" o:spt="202" path="m,l,21600r21600,l21600,xe">
          <v:stroke joinstyle="miter"/>
          <v:path gradientshapeok="t" o:connecttype="rect"/>
        </v:shapetype>
        <v:shape id="_x0000_s2049" type="#_x0000_t202" style="position:absolute;margin-left:396.35pt;margin-top:813.65pt;width:135pt;height:9pt;z-index:-251657728;mso-position-horizontal-relative:page;mso-position-vertical-relative:page" filled="f" stroked="f">
          <v:textbox style="mso-next-textbox:#_x0000_s2049" inset="0,0,0,0">
            <w:txbxContent>
              <w:p w:rsidR="00B86E67" w:rsidRDefault="00B86E67">
                <w:pPr>
                  <w:pStyle w:val="EYFooterinfo"/>
                </w:pPr>
                <w:r>
                  <w:t>A member firm of Ernst &amp; Young Global Limited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E67" w:rsidRDefault="00B86E67">
      <w:r>
        <w:separator/>
      </w:r>
    </w:p>
  </w:footnote>
  <w:footnote w:type="continuationSeparator" w:id="0">
    <w:p w:rsidR="00B86E67" w:rsidRDefault="00B86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67" w:rsidRDefault="00B86E67">
    <w:pPr>
      <w:pStyle w:val="EYBusinessaddressbold"/>
      <w:ind w:firstLine="6579"/>
      <w:rPr>
        <w:rFonts w:ascii="Arial" w:hAnsi="Arial" w:cs="Arial"/>
        <w:szCs w:val="15"/>
      </w:rPr>
    </w:pPr>
    <w:r>
      <w:rPr>
        <w:b w:val="0"/>
        <w:noProof/>
        <w:lang w:val="en-US"/>
      </w:rPr>
      <w:drawing>
        <wp:anchor distT="0" distB="0" distL="114300" distR="114300" simplePos="0" relativeHeight="251657728"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4" name="obrázek 3"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B86E67" w:rsidRDefault="00B86E67">
    <w:pPr>
      <w:pStyle w:val="EYBusinessaddressbold"/>
      <w:ind w:firstLine="6579"/>
      <w:rPr>
        <w:rFonts w:ascii="Arial" w:hAnsi="Arial" w:cs="Arial"/>
        <w:szCs w:val="15"/>
      </w:rPr>
    </w:pPr>
  </w:p>
  <w:p w:rsidR="00B86E67" w:rsidRDefault="00B86E67">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B86E67" w:rsidRDefault="00B86E67">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B86E67" w:rsidRDefault="00B86E67">
    <w:pPr>
      <w:pStyle w:val="EYBusinessaddress"/>
      <w:ind w:firstLine="6579"/>
      <w:rPr>
        <w:lang w:val="de-DE"/>
      </w:rPr>
    </w:pPr>
    <w:r>
      <w:rPr>
        <w:lang w:val="de-DE"/>
      </w:rPr>
      <w:t xml:space="preserve">120 00  </w:t>
    </w:r>
    <w:proofErr w:type="spellStart"/>
    <w:r>
      <w:rPr>
        <w:lang w:val="de-DE"/>
      </w:rPr>
      <w:t>Praha</w:t>
    </w:r>
    <w:proofErr w:type="spellEnd"/>
    <w:r>
      <w:rPr>
        <w:lang w:val="de-DE"/>
      </w:rPr>
      <w:t xml:space="preserve"> 2</w:t>
    </w:r>
  </w:p>
  <w:p w:rsidR="00B86E67" w:rsidRDefault="00B86E67">
    <w:pPr>
      <w:pStyle w:val="EYBusinessaddress"/>
      <w:ind w:firstLine="6579"/>
      <w:rPr>
        <w:lang w:val="de-DE"/>
      </w:rPr>
    </w:pPr>
    <w:r>
      <w:rPr>
        <w:lang w:val="de-DE"/>
      </w:rPr>
      <w:t>www.ey.com/cz</w:t>
    </w:r>
  </w:p>
  <w:p w:rsidR="00B86E67" w:rsidRDefault="00B86E67">
    <w:pPr>
      <w:pStyle w:val="Header"/>
      <w:tabs>
        <w:tab w:val="left" w:pos="6537"/>
      </w:tabs>
      <w:rPr>
        <w:lang w:val="de-DE"/>
      </w:rPr>
    </w:pPr>
  </w:p>
  <w:p w:rsidR="00B86E67" w:rsidRDefault="00B86E67">
    <w:pPr>
      <w:pStyle w:val="Header"/>
      <w:rPr>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67" w:rsidRDefault="00B86E67">
    <w:pPr>
      <w:pStyle w:val="EYBusinessaddressbold"/>
      <w:ind w:firstLine="6579"/>
      <w:rPr>
        <w:rFonts w:ascii="Arial" w:hAnsi="Arial" w:cs="Arial"/>
        <w:szCs w:val="15"/>
      </w:rPr>
    </w:pPr>
    <w:r>
      <w:rPr>
        <w:b w:val="0"/>
        <w:noProof/>
        <w:lang w:val="en-US"/>
      </w:rPr>
      <w:drawing>
        <wp:anchor distT="0" distB="0" distL="114300" distR="114300" simplePos="0" relativeHeight="251656704" behindDoc="1" locked="0" layoutInCell="1" allowOverlap="1">
          <wp:simplePos x="0" y="0"/>
          <wp:positionH relativeFrom="column">
            <wp:posOffset>-902970</wp:posOffset>
          </wp:positionH>
          <wp:positionV relativeFrom="paragraph">
            <wp:posOffset>-452755</wp:posOffset>
          </wp:positionV>
          <wp:extent cx="4333875" cy="1333500"/>
          <wp:effectExtent l="19050" t="0" r="9525" b="0"/>
          <wp:wrapNone/>
          <wp:docPr id="3" name="obrázek 2" desc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ey"/>
                  <pic:cNvPicPr>
                    <a:picLocks noChangeAspect="1" noChangeArrowheads="1"/>
                  </pic:cNvPicPr>
                </pic:nvPicPr>
                <pic:blipFill>
                  <a:blip r:embed="rId1"/>
                  <a:srcRect/>
                  <a:stretch>
                    <a:fillRect/>
                  </a:stretch>
                </pic:blipFill>
                <pic:spPr bwMode="auto">
                  <a:xfrm>
                    <a:off x="0" y="0"/>
                    <a:ext cx="4333875" cy="1333500"/>
                  </a:xfrm>
                  <a:prstGeom prst="rect">
                    <a:avLst/>
                  </a:prstGeom>
                  <a:noFill/>
                  <a:ln w="9525">
                    <a:noFill/>
                    <a:miter lim="800000"/>
                    <a:headEnd/>
                    <a:tailEnd/>
                  </a:ln>
                </pic:spPr>
              </pic:pic>
            </a:graphicData>
          </a:graphic>
        </wp:anchor>
      </w:drawing>
    </w:r>
  </w:p>
  <w:p w:rsidR="00B86E67" w:rsidRDefault="00B86E67">
    <w:pPr>
      <w:pStyle w:val="EYBusinessaddressbold"/>
      <w:ind w:firstLine="6579"/>
      <w:rPr>
        <w:rFonts w:ascii="Arial" w:hAnsi="Arial" w:cs="Arial"/>
        <w:szCs w:val="15"/>
      </w:rPr>
    </w:pPr>
  </w:p>
  <w:p w:rsidR="00B86E67" w:rsidRDefault="00B86E67">
    <w:pPr>
      <w:pStyle w:val="EYBusinessaddressbold"/>
      <w:ind w:firstLine="6579"/>
      <w:rPr>
        <w:rFonts w:ascii="Arial" w:hAnsi="Arial" w:cs="Arial"/>
        <w:szCs w:val="15"/>
        <w:lang w:val="de-DE"/>
      </w:rPr>
    </w:pPr>
    <w:r>
      <w:rPr>
        <w:rFonts w:ascii="Arial" w:hAnsi="Arial" w:cs="Arial"/>
        <w:szCs w:val="15"/>
        <w:lang w:val="de-DE"/>
      </w:rPr>
      <w:t xml:space="preserve">Ernst &amp; Young </w:t>
    </w:r>
  </w:p>
  <w:p w:rsidR="00B86E67" w:rsidRDefault="00B86E67">
    <w:pPr>
      <w:pStyle w:val="EYBusinessaddress"/>
      <w:ind w:firstLine="6579"/>
      <w:rPr>
        <w:rFonts w:cs="Arial"/>
        <w:szCs w:val="15"/>
        <w:lang w:val="de-DE"/>
      </w:rPr>
    </w:pPr>
    <w:proofErr w:type="spellStart"/>
    <w:r>
      <w:rPr>
        <w:rFonts w:cs="Arial"/>
        <w:szCs w:val="15"/>
        <w:lang w:val="de-DE"/>
      </w:rPr>
      <w:t>Karlovo</w:t>
    </w:r>
    <w:proofErr w:type="spellEnd"/>
    <w:r>
      <w:rPr>
        <w:rFonts w:cs="Arial"/>
        <w:szCs w:val="15"/>
        <w:lang w:val="de-DE"/>
      </w:rPr>
      <w:t xml:space="preserve"> </w:t>
    </w:r>
    <w:proofErr w:type="spellStart"/>
    <w:r>
      <w:rPr>
        <w:rFonts w:cs="Arial"/>
        <w:szCs w:val="15"/>
        <w:lang w:val="de-DE"/>
      </w:rPr>
      <w:t>nám</w:t>
    </w:r>
    <w:proofErr w:type="spellEnd"/>
    <w:r>
      <w:rPr>
        <w:rFonts w:cs="Arial"/>
        <w:szCs w:val="15"/>
        <w:lang w:val="de-DE"/>
      </w:rPr>
      <w:t>. 10</w:t>
    </w:r>
    <w:r>
      <w:rPr>
        <w:rFonts w:cs="Arial"/>
        <w:color w:val="FFD200"/>
        <w:szCs w:val="15"/>
        <w:lang w:val="de-DE"/>
      </w:rPr>
      <w:t xml:space="preserve"> </w:t>
    </w:r>
  </w:p>
  <w:p w:rsidR="00B86E67" w:rsidRDefault="00B86E67">
    <w:pPr>
      <w:pStyle w:val="EYBusinessaddress"/>
      <w:ind w:firstLine="6579"/>
      <w:rPr>
        <w:lang w:val="de-DE"/>
      </w:rPr>
    </w:pPr>
    <w:r>
      <w:rPr>
        <w:lang w:val="de-DE"/>
      </w:rPr>
      <w:t xml:space="preserve">120 00  </w:t>
    </w:r>
    <w:proofErr w:type="spellStart"/>
    <w:r>
      <w:rPr>
        <w:lang w:val="de-DE"/>
      </w:rPr>
      <w:t>Praha</w:t>
    </w:r>
    <w:proofErr w:type="spellEnd"/>
    <w:r>
      <w:rPr>
        <w:lang w:val="de-DE"/>
      </w:rPr>
      <w:t xml:space="preserve"> 2</w:t>
    </w:r>
  </w:p>
  <w:p w:rsidR="00B86E67" w:rsidRDefault="00B86E67">
    <w:pPr>
      <w:pStyle w:val="Header"/>
      <w:tabs>
        <w:tab w:val="left" w:pos="65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019"/>
    <w:multiLevelType w:val="hybridMultilevel"/>
    <w:tmpl w:val="8BB8A56E"/>
    <w:lvl w:ilvl="0" w:tplc="214481A2">
      <w:start w:val="1"/>
      <w:numFmt w:val="bullet"/>
      <w:lvlText w:val="•"/>
      <w:lvlJc w:val="left"/>
      <w:pPr>
        <w:tabs>
          <w:tab w:val="num" w:pos="720"/>
        </w:tabs>
        <w:ind w:left="720" w:hanging="360"/>
      </w:pPr>
      <w:rPr>
        <w:rFonts w:ascii="Arial Unicode MS" w:hAnsi="Arial Unicode MS" w:hint="default"/>
      </w:rPr>
    </w:lvl>
    <w:lvl w:ilvl="1" w:tplc="B70A93FA" w:tentative="1">
      <w:start w:val="1"/>
      <w:numFmt w:val="bullet"/>
      <w:lvlText w:val="•"/>
      <w:lvlJc w:val="left"/>
      <w:pPr>
        <w:tabs>
          <w:tab w:val="num" w:pos="1440"/>
        </w:tabs>
        <w:ind w:left="1440" w:hanging="360"/>
      </w:pPr>
      <w:rPr>
        <w:rFonts w:ascii="Arial Unicode MS" w:hAnsi="Arial Unicode MS" w:hint="default"/>
      </w:rPr>
    </w:lvl>
    <w:lvl w:ilvl="2" w:tplc="58AAFE00">
      <w:start w:val="1"/>
      <w:numFmt w:val="bullet"/>
      <w:lvlText w:val="•"/>
      <w:lvlJc w:val="left"/>
      <w:pPr>
        <w:tabs>
          <w:tab w:val="num" w:pos="2160"/>
        </w:tabs>
        <w:ind w:left="2160" w:hanging="360"/>
      </w:pPr>
      <w:rPr>
        <w:rFonts w:ascii="Arial Unicode MS" w:hAnsi="Arial Unicode MS" w:hint="default"/>
      </w:rPr>
    </w:lvl>
    <w:lvl w:ilvl="3" w:tplc="D3BA04F6" w:tentative="1">
      <w:start w:val="1"/>
      <w:numFmt w:val="bullet"/>
      <w:lvlText w:val="•"/>
      <w:lvlJc w:val="left"/>
      <w:pPr>
        <w:tabs>
          <w:tab w:val="num" w:pos="2880"/>
        </w:tabs>
        <w:ind w:left="2880" w:hanging="360"/>
      </w:pPr>
      <w:rPr>
        <w:rFonts w:ascii="Arial Unicode MS" w:hAnsi="Arial Unicode MS" w:hint="default"/>
      </w:rPr>
    </w:lvl>
    <w:lvl w:ilvl="4" w:tplc="ABCAE060" w:tentative="1">
      <w:start w:val="1"/>
      <w:numFmt w:val="bullet"/>
      <w:lvlText w:val="•"/>
      <w:lvlJc w:val="left"/>
      <w:pPr>
        <w:tabs>
          <w:tab w:val="num" w:pos="3600"/>
        </w:tabs>
        <w:ind w:left="3600" w:hanging="360"/>
      </w:pPr>
      <w:rPr>
        <w:rFonts w:ascii="Arial Unicode MS" w:hAnsi="Arial Unicode MS" w:hint="default"/>
      </w:rPr>
    </w:lvl>
    <w:lvl w:ilvl="5" w:tplc="59E4173E" w:tentative="1">
      <w:start w:val="1"/>
      <w:numFmt w:val="bullet"/>
      <w:lvlText w:val="•"/>
      <w:lvlJc w:val="left"/>
      <w:pPr>
        <w:tabs>
          <w:tab w:val="num" w:pos="4320"/>
        </w:tabs>
        <w:ind w:left="4320" w:hanging="360"/>
      </w:pPr>
      <w:rPr>
        <w:rFonts w:ascii="Arial Unicode MS" w:hAnsi="Arial Unicode MS" w:hint="default"/>
      </w:rPr>
    </w:lvl>
    <w:lvl w:ilvl="6" w:tplc="EB20D50E" w:tentative="1">
      <w:start w:val="1"/>
      <w:numFmt w:val="bullet"/>
      <w:lvlText w:val="•"/>
      <w:lvlJc w:val="left"/>
      <w:pPr>
        <w:tabs>
          <w:tab w:val="num" w:pos="5040"/>
        </w:tabs>
        <w:ind w:left="5040" w:hanging="360"/>
      </w:pPr>
      <w:rPr>
        <w:rFonts w:ascii="Arial Unicode MS" w:hAnsi="Arial Unicode MS" w:hint="default"/>
      </w:rPr>
    </w:lvl>
    <w:lvl w:ilvl="7" w:tplc="22F803E8" w:tentative="1">
      <w:start w:val="1"/>
      <w:numFmt w:val="bullet"/>
      <w:lvlText w:val="•"/>
      <w:lvlJc w:val="left"/>
      <w:pPr>
        <w:tabs>
          <w:tab w:val="num" w:pos="5760"/>
        </w:tabs>
        <w:ind w:left="5760" w:hanging="360"/>
      </w:pPr>
      <w:rPr>
        <w:rFonts w:ascii="Arial Unicode MS" w:hAnsi="Arial Unicode MS" w:hint="default"/>
      </w:rPr>
    </w:lvl>
    <w:lvl w:ilvl="8" w:tplc="1B7839DC" w:tentative="1">
      <w:start w:val="1"/>
      <w:numFmt w:val="bullet"/>
      <w:lvlText w:val="•"/>
      <w:lvlJc w:val="left"/>
      <w:pPr>
        <w:tabs>
          <w:tab w:val="num" w:pos="6480"/>
        </w:tabs>
        <w:ind w:left="6480" w:hanging="360"/>
      </w:pPr>
      <w:rPr>
        <w:rFonts w:ascii="Arial Unicode MS" w:hAnsi="Arial Unicode MS" w:hint="default"/>
      </w:rPr>
    </w:lvl>
  </w:abstractNum>
  <w:abstractNum w:abstractNumId="1">
    <w:nsid w:val="080719F3"/>
    <w:multiLevelType w:val="hybridMultilevel"/>
    <w:tmpl w:val="7F86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A1A84"/>
    <w:multiLevelType w:val="hybridMultilevel"/>
    <w:tmpl w:val="75A6E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393A14"/>
    <w:multiLevelType w:val="hybridMultilevel"/>
    <w:tmpl w:val="AA2E2D48"/>
    <w:lvl w:ilvl="0" w:tplc="A6521D4E">
      <w:start w:val="2"/>
      <w:numFmt w:val="bullet"/>
      <w:lvlText w:val="-"/>
      <w:lvlJc w:val="left"/>
      <w:pPr>
        <w:ind w:left="360" w:hanging="360"/>
      </w:pPr>
      <w:rPr>
        <w:rFonts w:ascii="Arial" w:eastAsiaTheme="minorHAnsi"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7F4971"/>
    <w:multiLevelType w:val="hybridMultilevel"/>
    <w:tmpl w:val="80B40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BB7AD4"/>
    <w:multiLevelType w:val="hybridMultilevel"/>
    <w:tmpl w:val="D270C86A"/>
    <w:lvl w:ilvl="0" w:tplc="F07698B2">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D34549"/>
    <w:multiLevelType w:val="singleLevel"/>
    <w:tmpl w:val="DE423576"/>
    <w:lvl w:ilvl="0">
      <w:start w:val="1"/>
      <w:numFmt w:val="bullet"/>
      <w:lvlRestart w:val="0"/>
      <w:lvlText w:val="-"/>
      <w:lvlJc w:val="left"/>
      <w:pPr>
        <w:tabs>
          <w:tab w:val="num" w:pos="850"/>
        </w:tabs>
        <w:ind w:left="850" w:hanging="425"/>
      </w:pPr>
      <w:rPr>
        <w:rFonts w:ascii="Symbol" w:hAnsi="Symbol" w:hint="default"/>
        <w:sz w:val="22"/>
      </w:rPr>
    </w:lvl>
  </w:abstractNum>
  <w:abstractNum w:abstractNumId="7">
    <w:nsid w:val="2B6B6291"/>
    <w:multiLevelType w:val="multilevel"/>
    <w:tmpl w:val="32F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76E4A"/>
    <w:multiLevelType w:val="hybridMultilevel"/>
    <w:tmpl w:val="93C4548E"/>
    <w:lvl w:ilvl="0" w:tplc="509036BA">
      <w:start w:val="1"/>
      <w:numFmt w:val="bullet"/>
      <w:lvlRestart w:val="0"/>
      <w:lvlText w:val="·"/>
      <w:lvlJc w:val="left"/>
      <w:pPr>
        <w:tabs>
          <w:tab w:val="num" w:pos="425"/>
        </w:tabs>
        <w:ind w:left="425" w:hanging="425"/>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1D51AA"/>
    <w:multiLevelType w:val="hybridMultilevel"/>
    <w:tmpl w:val="79260CCE"/>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2D7877"/>
    <w:multiLevelType w:val="hybridMultilevel"/>
    <w:tmpl w:val="8438F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F0860"/>
    <w:multiLevelType w:val="hybridMultilevel"/>
    <w:tmpl w:val="E482DFD8"/>
    <w:lvl w:ilvl="0" w:tplc="E13EA332">
      <w:start w:val="1"/>
      <w:numFmt w:val="bullet"/>
      <w:lvlText w:val="►"/>
      <w:lvlJc w:val="left"/>
      <w:pPr>
        <w:tabs>
          <w:tab w:val="num" w:pos="720"/>
        </w:tabs>
        <w:ind w:left="720" w:hanging="360"/>
      </w:pPr>
      <w:rPr>
        <w:rFonts w:ascii="Arial" w:hAnsi="Arial" w:hint="default"/>
      </w:rPr>
    </w:lvl>
    <w:lvl w:ilvl="1" w:tplc="59EAF8D8" w:tentative="1">
      <w:start w:val="1"/>
      <w:numFmt w:val="bullet"/>
      <w:lvlText w:val="►"/>
      <w:lvlJc w:val="left"/>
      <w:pPr>
        <w:tabs>
          <w:tab w:val="num" w:pos="1440"/>
        </w:tabs>
        <w:ind w:left="1440" w:hanging="360"/>
      </w:pPr>
      <w:rPr>
        <w:rFonts w:ascii="Arial" w:hAnsi="Arial" w:hint="default"/>
      </w:rPr>
    </w:lvl>
    <w:lvl w:ilvl="2" w:tplc="20082206" w:tentative="1">
      <w:start w:val="1"/>
      <w:numFmt w:val="bullet"/>
      <w:lvlText w:val="►"/>
      <w:lvlJc w:val="left"/>
      <w:pPr>
        <w:tabs>
          <w:tab w:val="num" w:pos="2160"/>
        </w:tabs>
        <w:ind w:left="2160" w:hanging="360"/>
      </w:pPr>
      <w:rPr>
        <w:rFonts w:ascii="Arial" w:hAnsi="Arial" w:hint="default"/>
      </w:rPr>
    </w:lvl>
    <w:lvl w:ilvl="3" w:tplc="A1AA9FEC" w:tentative="1">
      <w:start w:val="1"/>
      <w:numFmt w:val="bullet"/>
      <w:lvlText w:val="►"/>
      <w:lvlJc w:val="left"/>
      <w:pPr>
        <w:tabs>
          <w:tab w:val="num" w:pos="2880"/>
        </w:tabs>
        <w:ind w:left="2880" w:hanging="360"/>
      </w:pPr>
      <w:rPr>
        <w:rFonts w:ascii="Arial" w:hAnsi="Arial" w:hint="default"/>
      </w:rPr>
    </w:lvl>
    <w:lvl w:ilvl="4" w:tplc="8C56516C" w:tentative="1">
      <w:start w:val="1"/>
      <w:numFmt w:val="bullet"/>
      <w:lvlText w:val="►"/>
      <w:lvlJc w:val="left"/>
      <w:pPr>
        <w:tabs>
          <w:tab w:val="num" w:pos="3600"/>
        </w:tabs>
        <w:ind w:left="3600" w:hanging="360"/>
      </w:pPr>
      <w:rPr>
        <w:rFonts w:ascii="Arial" w:hAnsi="Arial" w:hint="default"/>
      </w:rPr>
    </w:lvl>
    <w:lvl w:ilvl="5" w:tplc="0FC0A0C0" w:tentative="1">
      <w:start w:val="1"/>
      <w:numFmt w:val="bullet"/>
      <w:lvlText w:val="►"/>
      <w:lvlJc w:val="left"/>
      <w:pPr>
        <w:tabs>
          <w:tab w:val="num" w:pos="4320"/>
        </w:tabs>
        <w:ind w:left="4320" w:hanging="360"/>
      </w:pPr>
      <w:rPr>
        <w:rFonts w:ascii="Arial" w:hAnsi="Arial" w:hint="default"/>
      </w:rPr>
    </w:lvl>
    <w:lvl w:ilvl="6" w:tplc="6DA49000" w:tentative="1">
      <w:start w:val="1"/>
      <w:numFmt w:val="bullet"/>
      <w:lvlText w:val="►"/>
      <w:lvlJc w:val="left"/>
      <w:pPr>
        <w:tabs>
          <w:tab w:val="num" w:pos="5040"/>
        </w:tabs>
        <w:ind w:left="5040" w:hanging="360"/>
      </w:pPr>
      <w:rPr>
        <w:rFonts w:ascii="Arial" w:hAnsi="Arial" w:hint="default"/>
      </w:rPr>
    </w:lvl>
    <w:lvl w:ilvl="7" w:tplc="FAF6310C" w:tentative="1">
      <w:start w:val="1"/>
      <w:numFmt w:val="bullet"/>
      <w:lvlText w:val="►"/>
      <w:lvlJc w:val="left"/>
      <w:pPr>
        <w:tabs>
          <w:tab w:val="num" w:pos="5760"/>
        </w:tabs>
        <w:ind w:left="5760" w:hanging="360"/>
      </w:pPr>
      <w:rPr>
        <w:rFonts w:ascii="Arial" w:hAnsi="Arial" w:hint="default"/>
      </w:rPr>
    </w:lvl>
    <w:lvl w:ilvl="8" w:tplc="FD7644D8" w:tentative="1">
      <w:start w:val="1"/>
      <w:numFmt w:val="bullet"/>
      <w:lvlText w:val="►"/>
      <w:lvlJc w:val="left"/>
      <w:pPr>
        <w:tabs>
          <w:tab w:val="num" w:pos="6480"/>
        </w:tabs>
        <w:ind w:left="6480" w:hanging="360"/>
      </w:pPr>
      <w:rPr>
        <w:rFonts w:ascii="Arial" w:hAnsi="Arial" w:hint="default"/>
      </w:rPr>
    </w:lvl>
  </w:abstractNum>
  <w:abstractNum w:abstractNumId="12">
    <w:nsid w:val="38F833AA"/>
    <w:multiLevelType w:val="hybridMultilevel"/>
    <w:tmpl w:val="608A209E"/>
    <w:lvl w:ilvl="0" w:tplc="23D4D57C">
      <w:start w:val="1"/>
      <w:numFmt w:val="bullet"/>
      <w:pStyle w:val="EYBulletedtext2"/>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F34BB4"/>
    <w:multiLevelType w:val="hybridMultilevel"/>
    <w:tmpl w:val="3ED86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C92544"/>
    <w:multiLevelType w:val="hybridMultilevel"/>
    <w:tmpl w:val="AAB688A0"/>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4F426F"/>
    <w:multiLevelType w:val="hybridMultilevel"/>
    <w:tmpl w:val="0062236A"/>
    <w:lvl w:ilvl="0" w:tplc="0054E02A">
      <w:start w:val="1"/>
      <w:numFmt w:val="bullet"/>
      <w:lvlText w:val="•"/>
      <w:lvlJc w:val="left"/>
      <w:pPr>
        <w:tabs>
          <w:tab w:val="num" w:pos="720"/>
        </w:tabs>
        <w:ind w:left="720" w:hanging="360"/>
      </w:pPr>
      <w:rPr>
        <w:rFonts w:ascii="Arial Unicode MS" w:hAnsi="Arial Unicode MS" w:hint="default"/>
      </w:rPr>
    </w:lvl>
    <w:lvl w:ilvl="1" w:tplc="4E7A2AA8" w:tentative="1">
      <w:start w:val="1"/>
      <w:numFmt w:val="bullet"/>
      <w:lvlText w:val="•"/>
      <w:lvlJc w:val="left"/>
      <w:pPr>
        <w:tabs>
          <w:tab w:val="num" w:pos="1440"/>
        </w:tabs>
        <w:ind w:left="1440" w:hanging="360"/>
      </w:pPr>
      <w:rPr>
        <w:rFonts w:ascii="Arial Unicode MS" w:hAnsi="Arial Unicode MS" w:hint="default"/>
      </w:rPr>
    </w:lvl>
    <w:lvl w:ilvl="2" w:tplc="FE0EE7BE">
      <w:start w:val="1"/>
      <w:numFmt w:val="bullet"/>
      <w:lvlText w:val="•"/>
      <w:lvlJc w:val="left"/>
      <w:pPr>
        <w:tabs>
          <w:tab w:val="num" w:pos="2160"/>
        </w:tabs>
        <w:ind w:left="2160" w:hanging="360"/>
      </w:pPr>
      <w:rPr>
        <w:rFonts w:ascii="Arial Unicode MS" w:hAnsi="Arial Unicode MS" w:hint="default"/>
      </w:rPr>
    </w:lvl>
    <w:lvl w:ilvl="3" w:tplc="EEA86882" w:tentative="1">
      <w:start w:val="1"/>
      <w:numFmt w:val="bullet"/>
      <w:lvlText w:val="•"/>
      <w:lvlJc w:val="left"/>
      <w:pPr>
        <w:tabs>
          <w:tab w:val="num" w:pos="2880"/>
        </w:tabs>
        <w:ind w:left="2880" w:hanging="360"/>
      </w:pPr>
      <w:rPr>
        <w:rFonts w:ascii="Arial Unicode MS" w:hAnsi="Arial Unicode MS" w:hint="default"/>
      </w:rPr>
    </w:lvl>
    <w:lvl w:ilvl="4" w:tplc="E24E763C" w:tentative="1">
      <w:start w:val="1"/>
      <w:numFmt w:val="bullet"/>
      <w:lvlText w:val="•"/>
      <w:lvlJc w:val="left"/>
      <w:pPr>
        <w:tabs>
          <w:tab w:val="num" w:pos="3600"/>
        </w:tabs>
        <w:ind w:left="3600" w:hanging="360"/>
      </w:pPr>
      <w:rPr>
        <w:rFonts w:ascii="Arial Unicode MS" w:hAnsi="Arial Unicode MS" w:hint="default"/>
      </w:rPr>
    </w:lvl>
    <w:lvl w:ilvl="5" w:tplc="5FACDA2C" w:tentative="1">
      <w:start w:val="1"/>
      <w:numFmt w:val="bullet"/>
      <w:lvlText w:val="•"/>
      <w:lvlJc w:val="left"/>
      <w:pPr>
        <w:tabs>
          <w:tab w:val="num" w:pos="4320"/>
        </w:tabs>
        <w:ind w:left="4320" w:hanging="360"/>
      </w:pPr>
      <w:rPr>
        <w:rFonts w:ascii="Arial Unicode MS" w:hAnsi="Arial Unicode MS" w:hint="default"/>
      </w:rPr>
    </w:lvl>
    <w:lvl w:ilvl="6" w:tplc="632C18F2" w:tentative="1">
      <w:start w:val="1"/>
      <w:numFmt w:val="bullet"/>
      <w:lvlText w:val="•"/>
      <w:lvlJc w:val="left"/>
      <w:pPr>
        <w:tabs>
          <w:tab w:val="num" w:pos="5040"/>
        </w:tabs>
        <w:ind w:left="5040" w:hanging="360"/>
      </w:pPr>
      <w:rPr>
        <w:rFonts w:ascii="Arial Unicode MS" w:hAnsi="Arial Unicode MS" w:hint="default"/>
      </w:rPr>
    </w:lvl>
    <w:lvl w:ilvl="7" w:tplc="6608B8E6" w:tentative="1">
      <w:start w:val="1"/>
      <w:numFmt w:val="bullet"/>
      <w:lvlText w:val="•"/>
      <w:lvlJc w:val="left"/>
      <w:pPr>
        <w:tabs>
          <w:tab w:val="num" w:pos="5760"/>
        </w:tabs>
        <w:ind w:left="5760" w:hanging="360"/>
      </w:pPr>
      <w:rPr>
        <w:rFonts w:ascii="Arial Unicode MS" w:hAnsi="Arial Unicode MS" w:hint="default"/>
      </w:rPr>
    </w:lvl>
    <w:lvl w:ilvl="8" w:tplc="EB96716E" w:tentative="1">
      <w:start w:val="1"/>
      <w:numFmt w:val="bullet"/>
      <w:lvlText w:val="•"/>
      <w:lvlJc w:val="left"/>
      <w:pPr>
        <w:tabs>
          <w:tab w:val="num" w:pos="6480"/>
        </w:tabs>
        <w:ind w:left="6480" w:hanging="360"/>
      </w:pPr>
      <w:rPr>
        <w:rFonts w:ascii="Arial Unicode MS" w:hAnsi="Arial Unicode MS" w:hint="default"/>
      </w:rPr>
    </w:lvl>
  </w:abstractNum>
  <w:abstractNum w:abstractNumId="17">
    <w:nsid w:val="4F250B5E"/>
    <w:multiLevelType w:val="hybridMultilevel"/>
    <w:tmpl w:val="7E02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6B0312"/>
    <w:multiLevelType w:val="hybridMultilevel"/>
    <w:tmpl w:val="13481524"/>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9">
    <w:nsid w:val="4FC90821"/>
    <w:multiLevelType w:val="multilevel"/>
    <w:tmpl w:val="5F3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E1158E"/>
    <w:multiLevelType w:val="hybridMultilevel"/>
    <w:tmpl w:val="180CE8BA"/>
    <w:lvl w:ilvl="0" w:tplc="B0A8C158">
      <w:start w:val="1"/>
      <w:numFmt w:val="bullet"/>
      <w:lvlText w:val="•"/>
      <w:lvlJc w:val="left"/>
      <w:pPr>
        <w:tabs>
          <w:tab w:val="num" w:pos="649"/>
        </w:tabs>
        <w:ind w:left="649" w:hanging="479"/>
      </w:pPr>
      <w:rPr>
        <w:rFonts w:ascii="EYInterstate" w:hAnsi="EYInterstat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65675C"/>
    <w:multiLevelType w:val="hybridMultilevel"/>
    <w:tmpl w:val="F6941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7F3EB3"/>
    <w:multiLevelType w:val="hybridMultilevel"/>
    <w:tmpl w:val="0F3CC32E"/>
    <w:lvl w:ilvl="0" w:tplc="42368718">
      <w:start w:val="1"/>
      <w:numFmt w:val="bullet"/>
      <w:lvlText w:val="•"/>
      <w:lvlJc w:val="left"/>
      <w:pPr>
        <w:tabs>
          <w:tab w:val="num" w:pos="720"/>
        </w:tabs>
        <w:ind w:left="720" w:hanging="360"/>
      </w:pPr>
      <w:rPr>
        <w:rFonts w:ascii="Arial Unicode MS" w:hAnsi="Arial Unicode MS" w:hint="default"/>
      </w:rPr>
    </w:lvl>
    <w:lvl w:ilvl="1" w:tplc="375C4FA6" w:tentative="1">
      <w:start w:val="1"/>
      <w:numFmt w:val="bullet"/>
      <w:lvlText w:val="•"/>
      <w:lvlJc w:val="left"/>
      <w:pPr>
        <w:tabs>
          <w:tab w:val="num" w:pos="1440"/>
        </w:tabs>
        <w:ind w:left="1440" w:hanging="360"/>
      </w:pPr>
      <w:rPr>
        <w:rFonts w:ascii="Arial Unicode MS" w:hAnsi="Arial Unicode MS" w:hint="default"/>
      </w:rPr>
    </w:lvl>
    <w:lvl w:ilvl="2" w:tplc="E4B6AAA2">
      <w:start w:val="1"/>
      <w:numFmt w:val="bullet"/>
      <w:lvlText w:val="•"/>
      <w:lvlJc w:val="left"/>
      <w:pPr>
        <w:tabs>
          <w:tab w:val="num" w:pos="2160"/>
        </w:tabs>
        <w:ind w:left="2160" w:hanging="360"/>
      </w:pPr>
      <w:rPr>
        <w:rFonts w:ascii="Arial Unicode MS" w:hAnsi="Arial Unicode MS" w:hint="default"/>
      </w:rPr>
    </w:lvl>
    <w:lvl w:ilvl="3" w:tplc="89C4C2B6" w:tentative="1">
      <w:start w:val="1"/>
      <w:numFmt w:val="bullet"/>
      <w:lvlText w:val="•"/>
      <w:lvlJc w:val="left"/>
      <w:pPr>
        <w:tabs>
          <w:tab w:val="num" w:pos="2880"/>
        </w:tabs>
        <w:ind w:left="2880" w:hanging="360"/>
      </w:pPr>
      <w:rPr>
        <w:rFonts w:ascii="Arial Unicode MS" w:hAnsi="Arial Unicode MS" w:hint="default"/>
      </w:rPr>
    </w:lvl>
    <w:lvl w:ilvl="4" w:tplc="737E15FC" w:tentative="1">
      <w:start w:val="1"/>
      <w:numFmt w:val="bullet"/>
      <w:lvlText w:val="•"/>
      <w:lvlJc w:val="left"/>
      <w:pPr>
        <w:tabs>
          <w:tab w:val="num" w:pos="3600"/>
        </w:tabs>
        <w:ind w:left="3600" w:hanging="360"/>
      </w:pPr>
      <w:rPr>
        <w:rFonts w:ascii="Arial Unicode MS" w:hAnsi="Arial Unicode MS" w:hint="default"/>
      </w:rPr>
    </w:lvl>
    <w:lvl w:ilvl="5" w:tplc="B0C27772" w:tentative="1">
      <w:start w:val="1"/>
      <w:numFmt w:val="bullet"/>
      <w:lvlText w:val="•"/>
      <w:lvlJc w:val="left"/>
      <w:pPr>
        <w:tabs>
          <w:tab w:val="num" w:pos="4320"/>
        </w:tabs>
        <w:ind w:left="4320" w:hanging="360"/>
      </w:pPr>
      <w:rPr>
        <w:rFonts w:ascii="Arial Unicode MS" w:hAnsi="Arial Unicode MS" w:hint="default"/>
      </w:rPr>
    </w:lvl>
    <w:lvl w:ilvl="6" w:tplc="B6FC6936" w:tentative="1">
      <w:start w:val="1"/>
      <w:numFmt w:val="bullet"/>
      <w:lvlText w:val="•"/>
      <w:lvlJc w:val="left"/>
      <w:pPr>
        <w:tabs>
          <w:tab w:val="num" w:pos="5040"/>
        </w:tabs>
        <w:ind w:left="5040" w:hanging="360"/>
      </w:pPr>
      <w:rPr>
        <w:rFonts w:ascii="Arial Unicode MS" w:hAnsi="Arial Unicode MS" w:hint="default"/>
      </w:rPr>
    </w:lvl>
    <w:lvl w:ilvl="7" w:tplc="957ADDEC" w:tentative="1">
      <w:start w:val="1"/>
      <w:numFmt w:val="bullet"/>
      <w:lvlText w:val="•"/>
      <w:lvlJc w:val="left"/>
      <w:pPr>
        <w:tabs>
          <w:tab w:val="num" w:pos="5760"/>
        </w:tabs>
        <w:ind w:left="5760" w:hanging="360"/>
      </w:pPr>
      <w:rPr>
        <w:rFonts w:ascii="Arial Unicode MS" w:hAnsi="Arial Unicode MS" w:hint="default"/>
      </w:rPr>
    </w:lvl>
    <w:lvl w:ilvl="8" w:tplc="635E7CB4" w:tentative="1">
      <w:start w:val="1"/>
      <w:numFmt w:val="bullet"/>
      <w:lvlText w:val="•"/>
      <w:lvlJc w:val="left"/>
      <w:pPr>
        <w:tabs>
          <w:tab w:val="num" w:pos="6480"/>
        </w:tabs>
        <w:ind w:left="6480" w:hanging="360"/>
      </w:pPr>
      <w:rPr>
        <w:rFonts w:ascii="Arial Unicode MS" w:hAnsi="Arial Unicode MS" w:hint="default"/>
      </w:rPr>
    </w:lvl>
  </w:abstractNum>
  <w:abstractNum w:abstractNumId="23">
    <w:nsid w:val="7340416E"/>
    <w:multiLevelType w:val="hybridMultilevel"/>
    <w:tmpl w:val="CA44475A"/>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A05F72"/>
    <w:multiLevelType w:val="hybridMultilevel"/>
    <w:tmpl w:val="B6DE01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7177F0F"/>
    <w:multiLevelType w:val="hybridMultilevel"/>
    <w:tmpl w:val="47FCDFEC"/>
    <w:lvl w:ilvl="0" w:tplc="F7FE6D86">
      <w:start w:val="1"/>
      <w:numFmt w:val="bullet"/>
      <w:lvlRestart w:val="0"/>
      <w:lvlText w:val="·"/>
      <w:lvlJc w:val="left"/>
      <w:pPr>
        <w:tabs>
          <w:tab w:val="num" w:pos="425"/>
        </w:tabs>
        <w:ind w:left="425"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B6525D1"/>
    <w:multiLevelType w:val="hybridMultilevel"/>
    <w:tmpl w:val="D9807BB6"/>
    <w:lvl w:ilvl="0" w:tplc="791E007C">
      <w:start w:val="1"/>
      <w:numFmt w:val="bullet"/>
      <w:pStyle w:val="EYBulletedtext1"/>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432BC0"/>
    <w:multiLevelType w:val="hybridMultilevel"/>
    <w:tmpl w:val="3F74D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A22E4E"/>
    <w:multiLevelType w:val="hybridMultilevel"/>
    <w:tmpl w:val="F55086D2"/>
    <w:lvl w:ilvl="0" w:tplc="B4489C52">
      <w:start w:val="1"/>
      <w:numFmt w:val="bullet"/>
      <w:lvlText w:val="►"/>
      <w:lvlJc w:val="left"/>
      <w:pPr>
        <w:tabs>
          <w:tab w:val="num" w:pos="720"/>
        </w:tabs>
        <w:ind w:left="720" w:hanging="360"/>
      </w:pPr>
      <w:rPr>
        <w:rFonts w:ascii="Arial" w:hAnsi="Arial" w:hint="default"/>
      </w:rPr>
    </w:lvl>
    <w:lvl w:ilvl="1" w:tplc="7144BB84" w:tentative="1">
      <w:start w:val="1"/>
      <w:numFmt w:val="bullet"/>
      <w:lvlText w:val="►"/>
      <w:lvlJc w:val="left"/>
      <w:pPr>
        <w:tabs>
          <w:tab w:val="num" w:pos="1440"/>
        </w:tabs>
        <w:ind w:left="1440" w:hanging="360"/>
      </w:pPr>
      <w:rPr>
        <w:rFonts w:ascii="Arial" w:hAnsi="Arial" w:hint="default"/>
      </w:rPr>
    </w:lvl>
    <w:lvl w:ilvl="2" w:tplc="32F66426" w:tentative="1">
      <w:start w:val="1"/>
      <w:numFmt w:val="bullet"/>
      <w:lvlText w:val="►"/>
      <w:lvlJc w:val="left"/>
      <w:pPr>
        <w:tabs>
          <w:tab w:val="num" w:pos="2160"/>
        </w:tabs>
        <w:ind w:left="2160" w:hanging="360"/>
      </w:pPr>
      <w:rPr>
        <w:rFonts w:ascii="Arial" w:hAnsi="Arial" w:hint="default"/>
      </w:rPr>
    </w:lvl>
    <w:lvl w:ilvl="3" w:tplc="8B6E5AF4" w:tentative="1">
      <w:start w:val="1"/>
      <w:numFmt w:val="bullet"/>
      <w:lvlText w:val="►"/>
      <w:lvlJc w:val="left"/>
      <w:pPr>
        <w:tabs>
          <w:tab w:val="num" w:pos="2880"/>
        </w:tabs>
        <w:ind w:left="2880" w:hanging="360"/>
      </w:pPr>
      <w:rPr>
        <w:rFonts w:ascii="Arial" w:hAnsi="Arial" w:hint="default"/>
      </w:rPr>
    </w:lvl>
    <w:lvl w:ilvl="4" w:tplc="C68A1B2E" w:tentative="1">
      <w:start w:val="1"/>
      <w:numFmt w:val="bullet"/>
      <w:lvlText w:val="►"/>
      <w:lvlJc w:val="left"/>
      <w:pPr>
        <w:tabs>
          <w:tab w:val="num" w:pos="3600"/>
        </w:tabs>
        <w:ind w:left="3600" w:hanging="360"/>
      </w:pPr>
      <w:rPr>
        <w:rFonts w:ascii="Arial" w:hAnsi="Arial" w:hint="default"/>
      </w:rPr>
    </w:lvl>
    <w:lvl w:ilvl="5" w:tplc="10FAB592" w:tentative="1">
      <w:start w:val="1"/>
      <w:numFmt w:val="bullet"/>
      <w:lvlText w:val="►"/>
      <w:lvlJc w:val="left"/>
      <w:pPr>
        <w:tabs>
          <w:tab w:val="num" w:pos="4320"/>
        </w:tabs>
        <w:ind w:left="4320" w:hanging="360"/>
      </w:pPr>
      <w:rPr>
        <w:rFonts w:ascii="Arial" w:hAnsi="Arial" w:hint="default"/>
      </w:rPr>
    </w:lvl>
    <w:lvl w:ilvl="6" w:tplc="588EBB44" w:tentative="1">
      <w:start w:val="1"/>
      <w:numFmt w:val="bullet"/>
      <w:lvlText w:val="►"/>
      <w:lvlJc w:val="left"/>
      <w:pPr>
        <w:tabs>
          <w:tab w:val="num" w:pos="5040"/>
        </w:tabs>
        <w:ind w:left="5040" w:hanging="360"/>
      </w:pPr>
      <w:rPr>
        <w:rFonts w:ascii="Arial" w:hAnsi="Arial" w:hint="default"/>
      </w:rPr>
    </w:lvl>
    <w:lvl w:ilvl="7" w:tplc="BE5452E6" w:tentative="1">
      <w:start w:val="1"/>
      <w:numFmt w:val="bullet"/>
      <w:lvlText w:val="►"/>
      <w:lvlJc w:val="left"/>
      <w:pPr>
        <w:tabs>
          <w:tab w:val="num" w:pos="5760"/>
        </w:tabs>
        <w:ind w:left="5760" w:hanging="360"/>
      </w:pPr>
      <w:rPr>
        <w:rFonts w:ascii="Arial" w:hAnsi="Arial" w:hint="default"/>
      </w:rPr>
    </w:lvl>
    <w:lvl w:ilvl="8" w:tplc="BB9A8EAE"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2"/>
  </w:num>
  <w:num w:numId="3">
    <w:abstractNumId w:val="19"/>
  </w:num>
  <w:num w:numId="4">
    <w:abstractNumId w:val="16"/>
  </w:num>
  <w:num w:numId="5">
    <w:abstractNumId w:val="0"/>
  </w:num>
  <w:num w:numId="6">
    <w:abstractNumId w:val="22"/>
  </w:num>
  <w:num w:numId="7">
    <w:abstractNumId w:val="8"/>
  </w:num>
  <w:num w:numId="8">
    <w:abstractNumId w:val="6"/>
  </w:num>
  <w:num w:numId="9">
    <w:abstractNumId w:val="24"/>
  </w:num>
  <w:num w:numId="10">
    <w:abstractNumId w:val="10"/>
  </w:num>
  <w:num w:numId="11">
    <w:abstractNumId w:val="20"/>
  </w:num>
  <w:num w:numId="12">
    <w:abstractNumId w:val="9"/>
  </w:num>
  <w:num w:numId="13">
    <w:abstractNumId w:val="23"/>
  </w:num>
  <w:num w:numId="14">
    <w:abstractNumId w:val="21"/>
  </w:num>
  <w:num w:numId="15">
    <w:abstractNumId w:val="15"/>
  </w:num>
  <w:num w:numId="16">
    <w:abstractNumId w:val="25"/>
  </w:num>
  <w:num w:numId="17">
    <w:abstractNumId w:val="5"/>
  </w:num>
  <w:num w:numId="18">
    <w:abstractNumId w:val="17"/>
  </w:num>
  <w:num w:numId="19">
    <w:abstractNumId w:val="7"/>
  </w:num>
  <w:num w:numId="20">
    <w:abstractNumId w:val="18"/>
  </w:num>
  <w:num w:numId="21">
    <w:abstractNumId w:val="4"/>
  </w:num>
  <w:num w:numId="22">
    <w:abstractNumId w:val="1"/>
  </w:num>
  <w:num w:numId="23">
    <w:abstractNumId w:val="28"/>
  </w:num>
  <w:num w:numId="24">
    <w:abstractNumId w:val="11"/>
  </w:num>
  <w:num w:numId="25">
    <w:abstractNumId w:val="2"/>
  </w:num>
  <w:num w:numId="26">
    <w:abstractNumId w:val="27"/>
  </w:num>
  <w:num w:numId="27">
    <w:abstractNumId w:val="14"/>
  </w:num>
  <w:num w:numId="28">
    <w:abstractNumId w:val="3"/>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83139"/>
    <w:rsid w:val="0000287A"/>
    <w:rsid w:val="0001142C"/>
    <w:rsid w:val="00017E06"/>
    <w:rsid w:val="0002414B"/>
    <w:rsid w:val="000303F6"/>
    <w:rsid w:val="000330B7"/>
    <w:rsid w:val="000352BF"/>
    <w:rsid w:val="00035671"/>
    <w:rsid w:val="00075EA5"/>
    <w:rsid w:val="00076D3C"/>
    <w:rsid w:val="000806AE"/>
    <w:rsid w:val="00085584"/>
    <w:rsid w:val="00086210"/>
    <w:rsid w:val="000916BC"/>
    <w:rsid w:val="000B43F7"/>
    <w:rsid w:val="000E1CCF"/>
    <w:rsid w:val="000E6FB9"/>
    <w:rsid w:val="000F138B"/>
    <w:rsid w:val="0010602A"/>
    <w:rsid w:val="00125FA2"/>
    <w:rsid w:val="0013013D"/>
    <w:rsid w:val="00133E72"/>
    <w:rsid w:val="001475A7"/>
    <w:rsid w:val="001579E8"/>
    <w:rsid w:val="00172F72"/>
    <w:rsid w:val="0018203D"/>
    <w:rsid w:val="001824BC"/>
    <w:rsid w:val="001C148C"/>
    <w:rsid w:val="001C223D"/>
    <w:rsid w:val="001E45C3"/>
    <w:rsid w:val="001E59F8"/>
    <w:rsid w:val="001F2DBB"/>
    <w:rsid w:val="002014D2"/>
    <w:rsid w:val="00204534"/>
    <w:rsid w:val="00206AAB"/>
    <w:rsid w:val="00214468"/>
    <w:rsid w:val="0022013D"/>
    <w:rsid w:val="00232387"/>
    <w:rsid w:val="0023567F"/>
    <w:rsid w:val="0024581F"/>
    <w:rsid w:val="00256824"/>
    <w:rsid w:val="00270C72"/>
    <w:rsid w:val="00280BC1"/>
    <w:rsid w:val="00283139"/>
    <w:rsid w:val="00290B32"/>
    <w:rsid w:val="002A348F"/>
    <w:rsid w:val="002A7E9B"/>
    <w:rsid w:val="002A7F08"/>
    <w:rsid w:val="002B1541"/>
    <w:rsid w:val="002D465A"/>
    <w:rsid w:val="002D5243"/>
    <w:rsid w:val="002D5CCE"/>
    <w:rsid w:val="002E04DA"/>
    <w:rsid w:val="002E10FC"/>
    <w:rsid w:val="002E6888"/>
    <w:rsid w:val="002F2CD1"/>
    <w:rsid w:val="002F3AFA"/>
    <w:rsid w:val="002F3CF1"/>
    <w:rsid w:val="003023D2"/>
    <w:rsid w:val="00304CE3"/>
    <w:rsid w:val="00310F6E"/>
    <w:rsid w:val="00315728"/>
    <w:rsid w:val="003229A7"/>
    <w:rsid w:val="00335C59"/>
    <w:rsid w:val="00345839"/>
    <w:rsid w:val="00361183"/>
    <w:rsid w:val="00372629"/>
    <w:rsid w:val="0038296A"/>
    <w:rsid w:val="003C120A"/>
    <w:rsid w:val="003C7866"/>
    <w:rsid w:val="003F2A45"/>
    <w:rsid w:val="003F33BC"/>
    <w:rsid w:val="00406FC7"/>
    <w:rsid w:val="00410C01"/>
    <w:rsid w:val="004418CB"/>
    <w:rsid w:val="00444720"/>
    <w:rsid w:val="00462A07"/>
    <w:rsid w:val="004754BF"/>
    <w:rsid w:val="00492DD0"/>
    <w:rsid w:val="004A006A"/>
    <w:rsid w:val="004E26B6"/>
    <w:rsid w:val="004F6D2E"/>
    <w:rsid w:val="00502993"/>
    <w:rsid w:val="005036EA"/>
    <w:rsid w:val="00510ABC"/>
    <w:rsid w:val="00511187"/>
    <w:rsid w:val="0056155A"/>
    <w:rsid w:val="00564935"/>
    <w:rsid w:val="00570F9A"/>
    <w:rsid w:val="005738A5"/>
    <w:rsid w:val="005A1665"/>
    <w:rsid w:val="005B3DB7"/>
    <w:rsid w:val="005B5E1B"/>
    <w:rsid w:val="005C136C"/>
    <w:rsid w:val="005D7E4C"/>
    <w:rsid w:val="005E11EE"/>
    <w:rsid w:val="005E5E00"/>
    <w:rsid w:val="005F536D"/>
    <w:rsid w:val="006110B8"/>
    <w:rsid w:val="006133FF"/>
    <w:rsid w:val="006357DD"/>
    <w:rsid w:val="0065190D"/>
    <w:rsid w:val="00660DFD"/>
    <w:rsid w:val="00661F6E"/>
    <w:rsid w:val="006C35E9"/>
    <w:rsid w:val="006C51DC"/>
    <w:rsid w:val="006F1367"/>
    <w:rsid w:val="006F43FA"/>
    <w:rsid w:val="006F5C46"/>
    <w:rsid w:val="00710E75"/>
    <w:rsid w:val="007154DB"/>
    <w:rsid w:val="00736E16"/>
    <w:rsid w:val="0074131F"/>
    <w:rsid w:val="00756BBC"/>
    <w:rsid w:val="00757B11"/>
    <w:rsid w:val="007744FF"/>
    <w:rsid w:val="0078277F"/>
    <w:rsid w:val="007911EB"/>
    <w:rsid w:val="007C1EB8"/>
    <w:rsid w:val="007C4966"/>
    <w:rsid w:val="007E13D0"/>
    <w:rsid w:val="007E7F29"/>
    <w:rsid w:val="007F2C59"/>
    <w:rsid w:val="007F5868"/>
    <w:rsid w:val="007F7ABE"/>
    <w:rsid w:val="00816639"/>
    <w:rsid w:val="00822065"/>
    <w:rsid w:val="00823B75"/>
    <w:rsid w:val="00850053"/>
    <w:rsid w:val="00872975"/>
    <w:rsid w:val="00895227"/>
    <w:rsid w:val="00897259"/>
    <w:rsid w:val="008A2E38"/>
    <w:rsid w:val="008A4CBA"/>
    <w:rsid w:val="008A58BE"/>
    <w:rsid w:val="008C6E85"/>
    <w:rsid w:val="008C72D0"/>
    <w:rsid w:val="008C7AE9"/>
    <w:rsid w:val="008D65CD"/>
    <w:rsid w:val="008E2074"/>
    <w:rsid w:val="008E4E15"/>
    <w:rsid w:val="0090219E"/>
    <w:rsid w:val="00913206"/>
    <w:rsid w:val="00915713"/>
    <w:rsid w:val="00926283"/>
    <w:rsid w:val="00927992"/>
    <w:rsid w:val="00941425"/>
    <w:rsid w:val="00946048"/>
    <w:rsid w:val="00982C79"/>
    <w:rsid w:val="00984F64"/>
    <w:rsid w:val="009865CA"/>
    <w:rsid w:val="009B7798"/>
    <w:rsid w:val="009C5701"/>
    <w:rsid w:val="009C6FC5"/>
    <w:rsid w:val="009E2FA7"/>
    <w:rsid w:val="009E5FCF"/>
    <w:rsid w:val="009E6147"/>
    <w:rsid w:val="00A34769"/>
    <w:rsid w:val="00A43303"/>
    <w:rsid w:val="00A51E1D"/>
    <w:rsid w:val="00A75351"/>
    <w:rsid w:val="00A83DA3"/>
    <w:rsid w:val="00A935BF"/>
    <w:rsid w:val="00A93EC7"/>
    <w:rsid w:val="00AC172A"/>
    <w:rsid w:val="00AD1A9D"/>
    <w:rsid w:val="00AD2B80"/>
    <w:rsid w:val="00B02C95"/>
    <w:rsid w:val="00B04A84"/>
    <w:rsid w:val="00B15AC3"/>
    <w:rsid w:val="00B20F20"/>
    <w:rsid w:val="00B26A43"/>
    <w:rsid w:val="00B329DD"/>
    <w:rsid w:val="00B33761"/>
    <w:rsid w:val="00B52716"/>
    <w:rsid w:val="00B5424D"/>
    <w:rsid w:val="00B61D62"/>
    <w:rsid w:val="00B62525"/>
    <w:rsid w:val="00B67F1B"/>
    <w:rsid w:val="00B73A4F"/>
    <w:rsid w:val="00B830E8"/>
    <w:rsid w:val="00B86E67"/>
    <w:rsid w:val="00BC2912"/>
    <w:rsid w:val="00BF4B65"/>
    <w:rsid w:val="00BF4F59"/>
    <w:rsid w:val="00C0029C"/>
    <w:rsid w:val="00C016D7"/>
    <w:rsid w:val="00C03464"/>
    <w:rsid w:val="00C04A75"/>
    <w:rsid w:val="00C12D31"/>
    <w:rsid w:val="00C3754C"/>
    <w:rsid w:val="00C4135B"/>
    <w:rsid w:val="00C637FC"/>
    <w:rsid w:val="00C723EB"/>
    <w:rsid w:val="00C86A37"/>
    <w:rsid w:val="00C94D5A"/>
    <w:rsid w:val="00CA06C2"/>
    <w:rsid w:val="00CA4511"/>
    <w:rsid w:val="00CB176B"/>
    <w:rsid w:val="00CD1FBD"/>
    <w:rsid w:val="00CE43E4"/>
    <w:rsid w:val="00CE6619"/>
    <w:rsid w:val="00CE6D73"/>
    <w:rsid w:val="00CF7B1D"/>
    <w:rsid w:val="00D0559A"/>
    <w:rsid w:val="00D2109B"/>
    <w:rsid w:val="00D22C63"/>
    <w:rsid w:val="00D374A3"/>
    <w:rsid w:val="00D43464"/>
    <w:rsid w:val="00D61A18"/>
    <w:rsid w:val="00D668B8"/>
    <w:rsid w:val="00D67CE3"/>
    <w:rsid w:val="00D737CC"/>
    <w:rsid w:val="00D94D0E"/>
    <w:rsid w:val="00D97C58"/>
    <w:rsid w:val="00D97C7B"/>
    <w:rsid w:val="00DA219B"/>
    <w:rsid w:val="00DD024B"/>
    <w:rsid w:val="00DE2FA0"/>
    <w:rsid w:val="00DF317F"/>
    <w:rsid w:val="00E04D57"/>
    <w:rsid w:val="00E15B9B"/>
    <w:rsid w:val="00E16959"/>
    <w:rsid w:val="00E2123E"/>
    <w:rsid w:val="00E27029"/>
    <w:rsid w:val="00E506FD"/>
    <w:rsid w:val="00E7680E"/>
    <w:rsid w:val="00E85845"/>
    <w:rsid w:val="00EA026E"/>
    <w:rsid w:val="00EA47FA"/>
    <w:rsid w:val="00EB1316"/>
    <w:rsid w:val="00EC6C4E"/>
    <w:rsid w:val="00EE1A13"/>
    <w:rsid w:val="00EE231D"/>
    <w:rsid w:val="00F35A71"/>
    <w:rsid w:val="00F6154C"/>
    <w:rsid w:val="00F63F61"/>
    <w:rsid w:val="00F64D37"/>
    <w:rsid w:val="00F735B2"/>
    <w:rsid w:val="00F859EF"/>
    <w:rsid w:val="00FA478E"/>
    <w:rsid w:val="00FA780E"/>
    <w:rsid w:val="00FB166E"/>
    <w:rsid w:val="00FB2484"/>
    <w:rsid w:val="00FD3C9E"/>
    <w:rsid w:val="00FF05F3"/>
    <w:rsid w:val="00FF4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029"/>
    <w:rPr>
      <w:sz w:val="24"/>
      <w:szCs w:val="24"/>
      <w:lang w:eastAsia="en-US"/>
    </w:rPr>
  </w:style>
  <w:style w:type="paragraph" w:styleId="Heading2">
    <w:name w:val="heading 2"/>
    <w:basedOn w:val="Normal"/>
    <w:qFormat/>
    <w:rsid w:val="00E27029"/>
    <w:pPr>
      <w:spacing w:before="100" w:beforeAutospacing="1" w:after="100" w:afterAutospacing="1"/>
      <w:outlineLvl w:val="1"/>
    </w:pPr>
    <w:rPr>
      <w:b/>
      <w:bCs/>
      <w:color w:val="000000"/>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029"/>
    <w:pPr>
      <w:tabs>
        <w:tab w:val="center" w:pos="4320"/>
        <w:tab w:val="right" w:pos="8640"/>
      </w:tabs>
    </w:pPr>
  </w:style>
  <w:style w:type="paragraph" w:styleId="Footer">
    <w:name w:val="footer"/>
    <w:basedOn w:val="Normal"/>
    <w:rsid w:val="00E27029"/>
    <w:pPr>
      <w:tabs>
        <w:tab w:val="center" w:pos="4320"/>
        <w:tab w:val="right" w:pos="8640"/>
      </w:tabs>
    </w:pPr>
  </w:style>
  <w:style w:type="paragraph" w:customStyle="1" w:styleId="CharCharCharCharCharChar">
    <w:name w:val="Char Char Char Char Char Char"/>
    <w:basedOn w:val="Normal"/>
    <w:rsid w:val="00E27029"/>
    <w:pPr>
      <w:spacing w:after="160" w:line="240" w:lineRule="exact"/>
    </w:pPr>
    <w:rPr>
      <w:rFonts w:ascii="Verdana" w:hAnsi="Verdana"/>
      <w:lang w:val="en-US"/>
    </w:rPr>
  </w:style>
  <w:style w:type="paragraph" w:customStyle="1" w:styleId="EYNormal">
    <w:name w:val="EY Normal"/>
    <w:link w:val="EYNormalChar"/>
    <w:rsid w:val="00E27029"/>
    <w:pPr>
      <w:suppressAutoHyphens/>
    </w:pPr>
    <w:rPr>
      <w:rFonts w:ascii="Arial" w:hAnsi="Arial"/>
      <w:kern w:val="12"/>
      <w:sz w:val="11"/>
      <w:szCs w:val="24"/>
      <w:lang w:val="en-GB" w:eastAsia="en-US"/>
    </w:rPr>
  </w:style>
  <w:style w:type="paragraph" w:customStyle="1" w:styleId="EYBodytextsolid">
    <w:name w:val="EY Body text (solid)"/>
    <w:basedOn w:val="EYNormal"/>
    <w:rsid w:val="00E27029"/>
    <w:pPr>
      <w:tabs>
        <w:tab w:val="left" w:pos="907"/>
      </w:tabs>
      <w:spacing w:line="520" w:lineRule="atLeast"/>
    </w:pPr>
    <w:rPr>
      <w:sz w:val="22"/>
    </w:rPr>
  </w:style>
  <w:style w:type="paragraph" w:customStyle="1" w:styleId="EYBoldsubjectheading">
    <w:name w:val="EY Bold subject heading"/>
    <w:basedOn w:val="EYNormal"/>
    <w:rsid w:val="00E27029"/>
    <w:pPr>
      <w:spacing w:before="480" w:line="260" w:lineRule="atLeast"/>
    </w:pPr>
    <w:rPr>
      <w:b/>
      <w:sz w:val="26"/>
    </w:rPr>
  </w:style>
  <w:style w:type="paragraph" w:customStyle="1" w:styleId="EYFooterinfo">
    <w:name w:val="EY Footer info"/>
    <w:basedOn w:val="EYNormal"/>
    <w:rsid w:val="00E27029"/>
    <w:rPr>
      <w:color w:val="666666"/>
    </w:rPr>
  </w:style>
  <w:style w:type="paragraph" w:customStyle="1" w:styleId="EYDocumentpromptsbold">
    <w:name w:val="EY Document prompts (bold)"/>
    <w:basedOn w:val="EYDocumentprompts"/>
    <w:rsid w:val="00E27029"/>
    <w:rPr>
      <w:rFonts w:ascii="Arial Bold" w:hAnsi="Arial Bold"/>
      <w:b/>
    </w:rPr>
  </w:style>
  <w:style w:type="paragraph" w:customStyle="1" w:styleId="EYContinuationheader">
    <w:name w:val="EY Continuation header"/>
    <w:basedOn w:val="EYBodytextsolid"/>
    <w:rsid w:val="00E27029"/>
    <w:pPr>
      <w:tabs>
        <w:tab w:val="clear" w:pos="907"/>
        <w:tab w:val="left" w:pos="2495"/>
      </w:tabs>
      <w:spacing w:line="260" w:lineRule="atLeast"/>
    </w:pPr>
  </w:style>
  <w:style w:type="paragraph" w:customStyle="1" w:styleId="EYBusinessaddress">
    <w:name w:val="EY Business address"/>
    <w:basedOn w:val="EYNormal"/>
    <w:rsid w:val="00E27029"/>
    <w:pPr>
      <w:spacing w:line="170" w:lineRule="atLeast"/>
    </w:pPr>
    <w:rPr>
      <w:color w:val="666666"/>
      <w:sz w:val="15"/>
    </w:rPr>
  </w:style>
  <w:style w:type="character" w:customStyle="1" w:styleId="EYBodytextwithparaspaceChar">
    <w:name w:val="EY Body text (with para space) Char"/>
    <w:basedOn w:val="DefaultParagraphFont"/>
    <w:rsid w:val="00E27029"/>
    <w:rPr>
      <w:rFonts w:ascii="Arial" w:hAnsi="Arial"/>
      <w:kern w:val="12"/>
      <w:sz w:val="22"/>
      <w:szCs w:val="24"/>
      <w:lang w:val="en-GB" w:eastAsia="en-US" w:bidi="ar-SA"/>
    </w:rPr>
  </w:style>
  <w:style w:type="paragraph" w:customStyle="1" w:styleId="EYDocumenttitle">
    <w:name w:val="EY Document title"/>
    <w:basedOn w:val="EYBodytextsolid"/>
    <w:next w:val="EYBodytextsolid"/>
    <w:rsid w:val="00E27029"/>
    <w:pPr>
      <w:tabs>
        <w:tab w:val="clear" w:pos="907"/>
      </w:tabs>
      <w:spacing w:line="240" w:lineRule="auto"/>
    </w:pPr>
    <w:rPr>
      <w:spacing w:val="-4"/>
      <w:sz w:val="36"/>
    </w:rPr>
  </w:style>
  <w:style w:type="paragraph" w:customStyle="1" w:styleId="EYDocumentprompts">
    <w:name w:val="EY Document prompts"/>
    <w:basedOn w:val="EYNormal"/>
    <w:rsid w:val="00E27029"/>
    <w:pPr>
      <w:spacing w:line="240" w:lineRule="atLeast"/>
    </w:pPr>
    <w:rPr>
      <w:sz w:val="20"/>
    </w:rPr>
  </w:style>
  <w:style w:type="paragraph" w:customStyle="1" w:styleId="EYBodytextsubhead1">
    <w:name w:val="EY Body text subhead 1"/>
    <w:basedOn w:val="EYBodytextsolid"/>
    <w:rsid w:val="00E27029"/>
    <w:pPr>
      <w:spacing w:after="180"/>
    </w:pPr>
    <w:rPr>
      <w:rFonts w:ascii="Arial Bold" w:hAnsi="Arial Bold"/>
      <w:b/>
    </w:rPr>
  </w:style>
  <w:style w:type="paragraph" w:customStyle="1" w:styleId="EYBodytextsubhead2">
    <w:name w:val="EY Body text subhead 2"/>
    <w:basedOn w:val="EYBodytextsolid"/>
    <w:rsid w:val="00E27029"/>
    <w:pPr>
      <w:spacing w:after="180"/>
    </w:pPr>
    <w:rPr>
      <w:rFonts w:ascii="Arial Bold" w:hAnsi="Arial Bold"/>
      <w:b/>
      <w:i/>
    </w:rPr>
  </w:style>
  <w:style w:type="paragraph" w:customStyle="1" w:styleId="EYBodytextwithparaspace">
    <w:name w:val="EY Body text (with para space)"/>
    <w:basedOn w:val="EYBodytextsolid"/>
    <w:rsid w:val="00E27029"/>
    <w:pPr>
      <w:spacing w:after="400" w:line="360" w:lineRule="auto"/>
    </w:pPr>
  </w:style>
  <w:style w:type="paragraph" w:customStyle="1" w:styleId="EYDate">
    <w:name w:val="EY Date"/>
    <w:basedOn w:val="EYDocumentprompts"/>
    <w:rsid w:val="00E27029"/>
  </w:style>
  <w:style w:type="paragraph" w:customStyle="1" w:styleId="EYBulletedtext1">
    <w:name w:val="EY Bulleted text 1"/>
    <w:basedOn w:val="EYBodytextwithparaspace"/>
    <w:rsid w:val="00E27029"/>
    <w:pPr>
      <w:numPr>
        <w:numId w:val="1"/>
      </w:numPr>
    </w:pPr>
  </w:style>
  <w:style w:type="paragraph" w:customStyle="1" w:styleId="EYBulletedtext2">
    <w:name w:val="EY Bulleted text 2"/>
    <w:basedOn w:val="EYBodytextwithparaspace"/>
    <w:rsid w:val="00E27029"/>
    <w:pPr>
      <w:numPr>
        <w:numId w:val="2"/>
      </w:numPr>
    </w:pPr>
  </w:style>
  <w:style w:type="paragraph" w:customStyle="1" w:styleId="EYBusinessaddressbold">
    <w:name w:val="EY Business address (bold)"/>
    <w:basedOn w:val="EYBusinessaddress"/>
    <w:next w:val="EYBusinessaddress"/>
    <w:rsid w:val="00E27029"/>
    <w:rPr>
      <w:rFonts w:ascii="Arial Bold" w:hAnsi="Arial Bold"/>
      <w:b/>
    </w:rPr>
  </w:style>
  <w:style w:type="character" w:styleId="CommentReference">
    <w:name w:val="annotation reference"/>
    <w:basedOn w:val="DefaultParagraphFont"/>
    <w:semiHidden/>
    <w:rsid w:val="00E27029"/>
    <w:rPr>
      <w:sz w:val="16"/>
      <w:szCs w:val="16"/>
    </w:rPr>
  </w:style>
  <w:style w:type="paragraph" w:styleId="CommentText">
    <w:name w:val="annotation text"/>
    <w:basedOn w:val="Normal"/>
    <w:link w:val="CommentTextChar"/>
    <w:semiHidden/>
    <w:rsid w:val="00E27029"/>
    <w:rPr>
      <w:sz w:val="20"/>
      <w:szCs w:val="20"/>
    </w:rPr>
  </w:style>
  <w:style w:type="paragraph" w:styleId="BalloonText">
    <w:name w:val="Balloon Text"/>
    <w:basedOn w:val="Normal"/>
    <w:semiHidden/>
    <w:rsid w:val="00E27029"/>
    <w:rPr>
      <w:rFonts w:ascii="Tahoma" w:hAnsi="Tahoma" w:cs="Tahoma"/>
      <w:sz w:val="16"/>
      <w:szCs w:val="16"/>
    </w:rPr>
  </w:style>
  <w:style w:type="character" w:styleId="Hyperlink">
    <w:name w:val="Hyperlink"/>
    <w:basedOn w:val="DefaultParagraphFont"/>
    <w:rsid w:val="00E27029"/>
    <w:rPr>
      <w:color w:val="0000FF"/>
      <w:u w:val="single"/>
    </w:rPr>
  </w:style>
  <w:style w:type="paragraph" w:styleId="CommentSubject">
    <w:name w:val="annotation subject"/>
    <w:basedOn w:val="CommentText"/>
    <w:next w:val="CommentText"/>
    <w:semiHidden/>
    <w:rsid w:val="00E27029"/>
    <w:rPr>
      <w:b/>
      <w:bCs/>
    </w:rPr>
  </w:style>
  <w:style w:type="paragraph" w:customStyle="1" w:styleId="intro">
    <w:name w:val="intro"/>
    <w:basedOn w:val="Normal"/>
    <w:rsid w:val="00E27029"/>
    <w:pPr>
      <w:spacing w:before="100" w:beforeAutospacing="1" w:after="100" w:afterAutospacing="1"/>
    </w:pPr>
    <w:rPr>
      <w:color w:val="000000"/>
      <w:lang w:eastAsia="cs-CZ"/>
    </w:rPr>
  </w:style>
  <w:style w:type="character" w:customStyle="1" w:styleId="CharChar">
    <w:name w:val="Char Char"/>
    <w:basedOn w:val="DefaultParagraphFont"/>
    <w:rsid w:val="00E27029"/>
    <w:rPr>
      <w:b/>
      <w:bCs/>
      <w:color w:val="000000"/>
      <w:sz w:val="36"/>
      <w:szCs w:val="36"/>
    </w:rPr>
  </w:style>
  <w:style w:type="paragraph" w:styleId="NormalWeb">
    <w:name w:val="Normal (Web)"/>
    <w:basedOn w:val="Normal"/>
    <w:uiPriority w:val="99"/>
    <w:unhideWhenUsed/>
    <w:rsid w:val="00E27029"/>
    <w:pPr>
      <w:spacing w:before="100" w:beforeAutospacing="1" w:after="100" w:afterAutospacing="1"/>
    </w:pPr>
    <w:rPr>
      <w:color w:val="000000"/>
      <w:lang w:eastAsia="cs-CZ"/>
    </w:rPr>
  </w:style>
  <w:style w:type="paragraph" w:customStyle="1" w:styleId="EYHeading3">
    <w:name w:val="EY Heading 3"/>
    <w:basedOn w:val="Normal"/>
    <w:next w:val="EYBodytextwithparaspace"/>
    <w:link w:val="EYHeading3Char"/>
    <w:rsid w:val="00E27029"/>
    <w:pPr>
      <w:keepNext/>
      <w:suppressAutoHyphens/>
      <w:spacing w:before="120" w:after="120"/>
    </w:pPr>
    <w:rPr>
      <w:rFonts w:ascii="Arial" w:hAnsi="Arial"/>
      <w:b/>
      <w:i/>
      <w:kern w:val="12"/>
      <w:sz w:val="22"/>
      <w:lang w:val="en-GB"/>
    </w:rPr>
  </w:style>
  <w:style w:type="character" w:customStyle="1" w:styleId="EYHeading3Char">
    <w:name w:val="EY Heading 3 Char"/>
    <w:basedOn w:val="DefaultParagraphFont"/>
    <w:link w:val="EYHeading3"/>
    <w:rsid w:val="00E27029"/>
    <w:rPr>
      <w:rFonts w:ascii="Arial" w:hAnsi="Arial"/>
      <w:b/>
      <w:i/>
      <w:kern w:val="12"/>
      <w:sz w:val="22"/>
      <w:szCs w:val="24"/>
      <w:lang w:val="en-GB" w:eastAsia="en-US" w:bidi="ar-SA"/>
    </w:rPr>
  </w:style>
  <w:style w:type="paragraph" w:customStyle="1" w:styleId="EYHeading1">
    <w:name w:val="EY Heading 1"/>
    <w:basedOn w:val="EYNormal"/>
    <w:next w:val="EYBodytextwithparaspace"/>
    <w:link w:val="EYHeading1Char"/>
    <w:rsid w:val="00E27029"/>
    <w:pPr>
      <w:keepNext/>
      <w:spacing w:before="120" w:after="240"/>
    </w:pPr>
    <w:rPr>
      <w:b/>
      <w:sz w:val="26"/>
    </w:rPr>
  </w:style>
  <w:style w:type="character" w:customStyle="1" w:styleId="EYHeading1Char">
    <w:name w:val="EY Heading 1 Char"/>
    <w:basedOn w:val="DefaultParagraphFont"/>
    <w:link w:val="EYHeading1"/>
    <w:rsid w:val="00E27029"/>
    <w:rPr>
      <w:rFonts w:ascii="Arial" w:hAnsi="Arial"/>
      <w:b/>
      <w:kern w:val="12"/>
      <w:sz w:val="26"/>
      <w:szCs w:val="24"/>
      <w:lang w:val="en-GB" w:eastAsia="en-US" w:bidi="ar-SA"/>
    </w:rPr>
  </w:style>
  <w:style w:type="paragraph" w:customStyle="1" w:styleId="CRNormal">
    <w:name w:val="CR Normal"/>
    <w:basedOn w:val="Normal"/>
    <w:rsid w:val="00E27029"/>
    <w:pPr>
      <w:spacing w:line="260" w:lineRule="exact"/>
      <w:jc w:val="both"/>
    </w:pPr>
    <w:rPr>
      <w:sz w:val="22"/>
      <w:szCs w:val="20"/>
      <w:lang w:val="en-GB"/>
    </w:rPr>
  </w:style>
  <w:style w:type="paragraph" w:customStyle="1" w:styleId="EYHeading2">
    <w:name w:val="EY Heading 2"/>
    <w:basedOn w:val="EYHeading1"/>
    <w:next w:val="EYBodytextwithparaspace"/>
    <w:link w:val="EYHeading2Char"/>
    <w:rsid w:val="00E27029"/>
    <w:pPr>
      <w:spacing w:after="120"/>
    </w:pPr>
    <w:rPr>
      <w:sz w:val="22"/>
    </w:rPr>
  </w:style>
  <w:style w:type="character" w:customStyle="1" w:styleId="EYHeading2Char">
    <w:name w:val="EY Heading 2 Char"/>
    <w:basedOn w:val="EYHeading1Char"/>
    <w:link w:val="EYHeading2"/>
    <w:rsid w:val="00E27029"/>
    <w:rPr>
      <w:sz w:val="22"/>
    </w:rPr>
  </w:style>
  <w:style w:type="character" w:customStyle="1" w:styleId="EYNormalChar">
    <w:name w:val="EY Normal Char"/>
    <w:basedOn w:val="DefaultParagraphFont"/>
    <w:link w:val="EYNormal"/>
    <w:rsid w:val="00E27029"/>
    <w:rPr>
      <w:rFonts w:ascii="Arial" w:hAnsi="Arial"/>
      <w:kern w:val="12"/>
      <w:sz w:val="11"/>
      <w:szCs w:val="24"/>
      <w:lang w:val="en-GB" w:eastAsia="en-US" w:bidi="ar-SA"/>
    </w:rPr>
  </w:style>
  <w:style w:type="character" w:styleId="Emphasis">
    <w:name w:val="Emphasis"/>
    <w:basedOn w:val="DefaultParagraphFont"/>
    <w:qFormat/>
    <w:rsid w:val="00E27029"/>
    <w:rPr>
      <w:b/>
      <w:bCs/>
      <w:i w:val="0"/>
      <w:iCs w:val="0"/>
    </w:rPr>
  </w:style>
  <w:style w:type="paragraph" w:styleId="ListParagraph">
    <w:name w:val="List Paragraph"/>
    <w:basedOn w:val="Normal"/>
    <w:uiPriority w:val="34"/>
    <w:qFormat/>
    <w:rsid w:val="00E27029"/>
    <w:pPr>
      <w:ind w:left="720"/>
    </w:pPr>
  </w:style>
  <w:style w:type="paragraph" w:styleId="Revision">
    <w:name w:val="Revision"/>
    <w:hidden/>
    <w:uiPriority w:val="99"/>
    <w:semiHidden/>
    <w:rsid w:val="00E27029"/>
    <w:rPr>
      <w:sz w:val="24"/>
      <w:szCs w:val="24"/>
      <w:lang w:eastAsia="en-US"/>
    </w:rPr>
  </w:style>
  <w:style w:type="paragraph" w:customStyle="1" w:styleId="twoline">
    <w:name w:val="twoline"/>
    <w:basedOn w:val="Normal"/>
    <w:rsid w:val="00E27029"/>
    <w:pPr>
      <w:spacing w:before="100" w:beforeAutospacing="1" w:after="100" w:afterAutospacing="1"/>
    </w:pPr>
    <w:rPr>
      <w:lang w:val="en-US"/>
    </w:rPr>
  </w:style>
  <w:style w:type="character" w:styleId="Strong">
    <w:name w:val="Strong"/>
    <w:basedOn w:val="DefaultParagraphFont"/>
    <w:uiPriority w:val="22"/>
    <w:qFormat/>
    <w:rsid w:val="00E27029"/>
    <w:rPr>
      <w:b/>
      <w:bCs/>
    </w:rPr>
  </w:style>
  <w:style w:type="paragraph" w:customStyle="1" w:styleId="pagetext">
    <w:name w:val="pagetext"/>
    <w:basedOn w:val="Normal"/>
    <w:rsid w:val="00E27029"/>
    <w:pPr>
      <w:spacing w:line="336" w:lineRule="auto"/>
    </w:pPr>
    <w:rPr>
      <w:rFonts w:ascii="Arial" w:hAnsi="Arial" w:cs="Arial"/>
      <w:sz w:val="20"/>
      <w:szCs w:val="20"/>
    </w:rPr>
  </w:style>
  <w:style w:type="character" w:customStyle="1" w:styleId="tw4winMark">
    <w:name w:val="tw4winMark"/>
    <w:rsid w:val="00E27029"/>
    <w:rPr>
      <w:rFonts w:ascii="Courier New" w:hAnsi="Courier New"/>
      <w:vanish/>
      <w:color w:val="800080"/>
      <w:vertAlign w:val="subscript"/>
    </w:rPr>
  </w:style>
  <w:style w:type="character" w:customStyle="1" w:styleId="CommentTextChar">
    <w:name w:val="Comment Text Char"/>
    <w:basedOn w:val="DefaultParagraphFont"/>
    <w:link w:val="CommentText"/>
    <w:uiPriority w:val="99"/>
    <w:semiHidden/>
    <w:rsid w:val="00F64D37"/>
    <w:rPr>
      <w:lang w:val="cs-CZ"/>
    </w:rPr>
  </w:style>
  <w:style w:type="character" w:customStyle="1" w:styleId="gbthreadmessagerowdate1">
    <w:name w:val="gbthreadmessagerow_date1"/>
    <w:basedOn w:val="DefaultParagraphFont"/>
    <w:rsid w:val="00AD1A9D"/>
    <w:rPr>
      <w:color w:val="777777"/>
      <w:sz w:val="17"/>
      <w:szCs w:val="17"/>
    </w:rPr>
  </w:style>
  <w:style w:type="character" w:customStyle="1" w:styleId="gbthreadmessagerowreportlink1">
    <w:name w:val="gbthreadmessagerow_reportlink1"/>
    <w:basedOn w:val="DefaultParagraphFont"/>
    <w:rsid w:val="00AD1A9D"/>
    <w:rPr>
      <w:color w:val="777777"/>
      <w:sz w:val="17"/>
      <w:szCs w:val="17"/>
    </w:rPr>
  </w:style>
  <w:style w:type="character" w:styleId="FootnoteReference">
    <w:name w:val="footnote reference"/>
    <w:basedOn w:val="DefaultParagraphFont"/>
    <w:uiPriority w:val="99"/>
    <w:rsid w:val="008C7AE9"/>
    <w:rPr>
      <w:vertAlign w:val="superscript"/>
    </w:rPr>
  </w:style>
  <w:style w:type="paragraph" w:customStyle="1" w:styleId="Default">
    <w:name w:val="Default"/>
    <w:rsid w:val="00492DD0"/>
    <w:pPr>
      <w:autoSpaceDE w:val="0"/>
      <w:autoSpaceDN w:val="0"/>
      <w:adjustRightInd w:val="0"/>
    </w:pPr>
    <w:rPr>
      <w:rFonts w:ascii="Arial" w:eastAsiaTheme="minorHAnsi" w:hAnsi="Arial" w:cs="Arial"/>
      <w:color w:val="000000"/>
      <w:sz w:val="24"/>
      <w:szCs w:val="24"/>
      <w:lang w:val="en-GB" w:eastAsia="en-US"/>
    </w:rPr>
  </w:style>
  <w:style w:type="paragraph" w:styleId="FootnoteText">
    <w:name w:val="footnote text"/>
    <w:basedOn w:val="Normal"/>
    <w:link w:val="FootnoteTextChar"/>
    <w:uiPriority w:val="99"/>
    <w:unhideWhenUsed/>
    <w:rsid w:val="00492DD0"/>
    <w:rPr>
      <w:sz w:val="20"/>
      <w:szCs w:val="20"/>
      <w:lang w:val="en-US"/>
    </w:rPr>
  </w:style>
  <w:style w:type="character" w:customStyle="1" w:styleId="FootnoteTextChar">
    <w:name w:val="Footnote Text Char"/>
    <w:basedOn w:val="DefaultParagraphFont"/>
    <w:link w:val="FootnoteText"/>
    <w:uiPriority w:val="99"/>
    <w:rsid w:val="00492DD0"/>
    <w:rPr>
      <w:lang w:val="en-US" w:eastAsia="en-US"/>
    </w:rPr>
  </w:style>
</w:styles>
</file>

<file path=word/webSettings.xml><?xml version="1.0" encoding="utf-8"?>
<w:webSettings xmlns:r="http://schemas.openxmlformats.org/officeDocument/2006/relationships" xmlns:w="http://schemas.openxmlformats.org/wordprocessingml/2006/main">
  <w:divs>
    <w:div w:id="285551380">
      <w:bodyDiv w:val="1"/>
      <w:marLeft w:val="0"/>
      <w:marRight w:val="0"/>
      <w:marTop w:val="0"/>
      <w:marBottom w:val="0"/>
      <w:divBdr>
        <w:top w:val="none" w:sz="0" w:space="0" w:color="auto"/>
        <w:left w:val="none" w:sz="0" w:space="0" w:color="auto"/>
        <w:bottom w:val="none" w:sz="0" w:space="0" w:color="auto"/>
        <w:right w:val="none" w:sz="0" w:space="0" w:color="auto"/>
      </w:divBdr>
      <w:divsChild>
        <w:div w:id="662709344">
          <w:marLeft w:val="0"/>
          <w:marRight w:val="0"/>
          <w:marTop w:val="0"/>
          <w:marBottom w:val="0"/>
          <w:divBdr>
            <w:top w:val="none" w:sz="0" w:space="0" w:color="auto"/>
            <w:left w:val="none" w:sz="0" w:space="0" w:color="auto"/>
            <w:bottom w:val="none" w:sz="0" w:space="0" w:color="auto"/>
            <w:right w:val="none" w:sz="0" w:space="0" w:color="auto"/>
          </w:divBdr>
          <w:divsChild>
            <w:div w:id="1121921295">
              <w:marLeft w:val="0"/>
              <w:marRight w:val="0"/>
              <w:marTop w:val="0"/>
              <w:marBottom w:val="0"/>
              <w:divBdr>
                <w:top w:val="none" w:sz="0" w:space="0" w:color="auto"/>
                <w:left w:val="none" w:sz="0" w:space="0" w:color="auto"/>
                <w:bottom w:val="none" w:sz="0" w:space="0" w:color="auto"/>
                <w:right w:val="none" w:sz="0" w:space="0" w:color="auto"/>
              </w:divBdr>
              <w:divsChild>
                <w:div w:id="1531919132">
                  <w:marLeft w:val="-15"/>
                  <w:marRight w:val="0"/>
                  <w:marTop w:val="0"/>
                  <w:marBottom w:val="0"/>
                  <w:divBdr>
                    <w:top w:val="none" w:sz="0" w:space="0" w:color="auto"/>
                    <w:left w:val="none" w:sz="0" w:space="0" w:color="auto"/>
                    <w:bottom w:val="none" w:sz="0" w:space="0" w:color="auto"/>
                    <w:right w:val="none" w:sz="0" w:space="0" w:color="auto"/>
                  </w:divBdr>
                  <w:divsChild>
                    <w:div w:id="583799445">
                      <w:marLeft w:val="0"/>
                      <w:marRight w:val="0"/>
                      <w:marTop w:val="0"/>
                      <w:marBottom w:val="0"/>
                      <w:divBdr>
                        <w:top w:val="none" w:sz="0" w:space="0" w:color="auto"/>
                        <w:left w:val="none" w:sz="0" w:space="0" w:color="auto"/>
                        <w:bottom w:val="none" w:sz="0" w:space="0" w:color="auto"/>
                        <w:right w:val="none" w:sz="0" w:space="0" w:color="auto"/>
                      </w:divBdr>
                      <w:divsChild>
                        <w:div w:id="313336068">
                          <w:marLeft w:val="0"/>
                          <w:marRight w:val="-15"/>
                          <w:marTop w:val="0"/>
                          <w:marBottom w:val="0"/>
                          <w:divBdr>
                            <w:top w:val="none" w:sz="0" w:space="0" w:color="auto"/>
                            <w:left w:val="none" w:sz="0" w:space="0" w:color="auto"/>
                            <w:bottom w:val="none" w:sz="0" w:space="0" w:color="auto"/>
                            <w:right w:val="none" w:sz="0" w:space="0" w:color="auto"/>
                          </w:divBdr>
                          <w:divsChild>
                            <w:div w:id="2027293577">
                              <w:marLeft w:val="0"/>
                              <w:marRight w:val="0"/>
                              <w:marTop w:val="0"/>
                              <w:marBottom w:val="0"/>
                              <w:divBdr>
                                <w:top w:val="none" w:sz="0" w:space="0" w:color="auto"/>
                                <w:left w:val="none" w:sz="0" w:space="0" w:color="auto"/>
                                <w:bottom w:val="none" w:sz="0" w:space="0" w:color="auto"/>
                                <w:right w:val="none" w:sz="0" w:space="0" w:color="auto"/>
                              </w:divBdr>
                              <w:divsChild>
                                <w:div w:id="1343506674">
                                  <w:marLeft w:val="0"/>
                                  <w:marRight w:val="0"/>
                                  <w:marTop w:val="0"/>
                                  <w:marBottom w:val="0"/>
                                  <w:divBdr>
                                    <w:top w:val="none" w:sz="0" w:space="0" w:color="auto"/>
                                    <w:left w:val="none" w:sz="0" w:space="0" w:color="auto"/>
                                    <w:bottom w:val="none" w:sz="0" w:space="0" w:color="auto"/>
                                    <w:right w:val="none" w:sz="0" w:space="0" w:color="auto"/>
                                  </w:divBdr>
                                  <w:divsChild>
                                    <w:div w:id="2049644541">
                                      <w:marLeft w:val="0"/>
                                      <w:marRight w:val="0"/>
                                      <w:marTop w:val="0"/>
                                      <w:marBottom w:val="0"/>
                                      <w:divBdr>
                                        <w:top w:val="none" w:sz="0" w:space="0" w:color="auto"/>
                                        <w:left w:val="none" w:sz="0" w:space="0" w:color="auto"/>
                                        <w:bottom w:val="none" w:sz="0" w:space="0" w:color="auto"/>
                                        <w:right w:val="none" w:sz="0" w:space="0" w:color="auto"/>
                                      </w:divBdr>
                                      <w:divsChild>
                                        <w:div w:id="1509905400">
                                          <w:marLeft w:val="0"/>
                                          <w:marRight w:val="0"/>
                                          <w:marTop w:val="0"/>
                                          <w:marBottom w:val="0"/>
                                          <w:divBdr>
                                            <w:top w:val="none" w:sz="0" w:space="0" w:color="auto"/>
                                            <w:left w:val="none" w:sz="0" w:space="0" w:color="auto"/>
                                            <w:bottom w:val="none" w:sz="0" w:space="0" w:color="auto"/>
                                            <w:right w:val="none" w:sz="0" w:space="0" w:color="auto"/>
                                          </w:divBdr>
                                          <w:divsChild>
                                            <w:div w:id="975335861">
                                              <w:marLeft w:val="0"/>
                                              <w:marRight w:val="0"/>
                                              <w:marTop w:val="0"/>
                                              <w:marBottom w:val="0"/>
                                              <w:divBdr>
                                                <w:top w:val="none" w:sz="0" w:space="0" w:color="auto"/>
                                                <w:left w:val="none" w:sz="0" w:space="0" w:color="auto"/>
                                                <w:bottom w:val="none" w:sz="0" w:space="0" w:color="auto"/>
                                                <w:right w:val="none" w:sz="0" w:space="0" w:color="auto"/>
                                              </w:divBdr>
                                              <w:divsChild>
                                                <w:div w:id="1338920840">
                                                  <w:marLeft w:val="0"/>
                                                  <w:marRight w:val="0"/>
                                                  <w:marTop w:val="0"/>
                                                  <w:marBottom w:val="0"/>
                                                  <w:divBdr>
                                                    <w:top w:val="none" w:sz="0" w:space="0" w:color="auto"/>
                                                    <w:left w:val="none" w:sz="0" w:space="0" w:color="auto"/>
                                                    <w:bottom w:val="none" w:sz="0" w:space="0" w:color="auto"/>
                                                    <w:right w:val="none" w:sz="0" w:space="0" w:color="auto"/>
                                                  </w:divBdr>
                                                  <w:divsChild>
                                                    <w:div w:id="257756780">
                                                      <w:marLeft w:val="0"/>
                                                      <w:marRight w:val="0"/>
                                                      <w:marTop w:val="0"/>
                                                      <w:marBottom w:val="120"/>
                                                      <w:divBdr>
                                                        <w:top w:val="single" w:sz="6" w:space="6" w:color="DDDDDD"/>
                                                        <w:left w:val="none" w:sz="0" w:space="0" w:color="auto"/>
                                                        <w:bottom w:val="none" w:sz="0" w:space="0" w:color="auto"/>
                                                        <w:right w:val="none" w:sz="0" w:space="0" w:color="auto"/>
                                                      </w:divBdr>
                                                      <w:divsChild>
                                                        <w:div w:id="984507476">
                                                          <w:marLeft w:val="0"/>
                                                          <w:marRight w:val="0"/>
                                                          <w:marTop w:val="0"/>
                                                          <w:marBottom w:val="0"/>
                                                          <w:divBdr>
                                                            <w:top w:val="none" w:sz="0" w:space="0" w:color="auto"/>
                                                            <w:left w:val="none" w:sz="0" w:space="0" w:color="auto"/>
                                                            <w:bottom w:val="none" w:sz="0" w:space="0" w:color="auto"/>
                                                            <w:right w:val="none" w:sz="0" w:space="0" w:color="auto"/>
                                                          </w:divBdr>
                                                          <w:divsChild>
                                                            <w:div w:id="356977331">
                                                              <w:marLeft w:val="0"/>
                                                              <w:marRight w:val="0"/>
                                                              <w:marTop w:val="0"/>
                                                              <w:marBottom w:val="60"/>
                                                              <w:divBdr>
                                                                <w:top w:val="none" w:sz="0" w:space="0" w:color="auto"/>
                                                                <w:left w:val="none" w:sz="0" w:space="0" w:color="auto"/>
                                                                <w:bottom w:val="none" w:sz="0" w:space="0" w:color="auto"/>
                                                                <w:right w:val="none" w:sz="0" w:space="0" w:color="auto"/>
                                                              </w:divBdr>
                                                            </w:div>
                                                            <w:div w:id="1023939360">
                                                              <w:marLeft w:val="0"/>
                                                              <w:marRight w:val="0"/>
                                                              <w:marTop w:val="0"/>
                                                              <w:marBottom w:val="0"/>
                                                              <w:divBdr>
                                                                <w:top w:val="none" w:sz="0" w:space="0" w:color="auto"/>
                                                                <w:left w:val="none" w:sz="0" w:space="0" w:color="auto"/>
                                                                <w:bottom w:val="none" w:sz="0" w:space="0" w:color="auto"/>
                                                                <w:right w:val="none" w:sz="0" w:space="0" w:color="auto"/>
                                                              </w:divBdr>
                                                              <w:divsChild>
                                                                <w:div w:id="2996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594710">
      <w:bodyDiv w:val="1"/>
      <w:marLeft w:val="0"/>
      <w:marRight w:val="0"/>
      <w:marTop w:val="0"/>
      <w:marBottom w:val="0"/>
      <w:divBdr>
        <w:top w:val="none" w:sz="0" w:space="0" w:color="auto"/>
        <w:left w:val="none" w:sz="0" w:space="0" w:color="auto"/>
        <w:bottom w:val="none" w:sz="0" w:space="0" w:color="auto"/>
        <w:right w:val="none" w:sz="0" w:space="0" w:color="auto"/>
      </w:divBdr>
      <w:divsChild>
        <w:div w:id="571702391">
          <w:marLeft w:val="648"/>
          <w:marRight w:val="0"/>
          <w:marTop w:val="0"/>
          <w:marBottom w:val="120"/>
          <w:divBdr>
            <w:top w:val="none" w:sz="0" w:space="0" w:color="auto"/>
            <w:left w:val="none" w:sz="0" w:space="0" w:color="auto"/>
            <w:bottom w:val="none" w:sz="0" w:space="0" w:color="auto"/>
            <w:right w:val="none" w:sz="0" w:space="0" w:color="auto"/>
          </w:divBdr>
        </w:div>
        <w:div w:id="789856501">
          <w:marLeft w:val="648"/>
          <w:marRight w:val="0"/>
          <w:marTop w:val="0"/>
          <w:marBottom w:val="120"/>
          <w:divBdr>
            <w:top w:val="none" w:sz="0" w:space="0" w:color="auto"/>
            <w:left w:val="none" w:sz="0" w:space="0" w:color="auto"/>
            <w:bottom w:val="none" w:sz="0" w:space="0" w:color="auto"/>
            <w:right w:val="none" w:sz="0" w:space="0" w:color="auto"/>
          </w:divBdr>
        </w:div>
        <w:div w:id="1156336793">
          <w:marLeft w:val="648"/>
          <w:marRight w:val="0"/>
          <w:marTop w:val="0"/>
          <w:marBottom w:val="120"/>
          <w:divBdr>
            <w:top w:val="none" w:sz="0" w:space="0" w:color="auto"/>
            <w:left w:val="none" w:sz="0" w:space="0" w:color="auto"/>
            <w:bottom w:val="none" w:sz="0" w:space="0" w:color="auto"/>
            <w:right w:val="none" w:sz="0" w:space="0" w:color="auto"/>
          </w:divBdr>
        </w:div>
        <w:div w:id="1270434713">
          <w:marLeft w:val="648"/>
          <w:marRight w:val="0"/>
          <w:marTop w:val="0"/>
          <w:marBottom w:val="120"/>
          <w:divBdr>
            <w:top w:val="none" w:sz="0" w:space="0" w:color="auto"/>
            <w:left w:val="none" w:sz="0" w:space="0" w:color="auto"/>
            <w:bottom w:val="none" w:sz="0" w:space="0" w:color="auto"/>
            <w:right w:val="none" w:sz="0" w:space="0" w:color="auto"/>
          </w:divBdr>
        </w:div>
      </w:divsChild>
    </w:div>
    <w:div w:id="716512264">
      <w:bodyDiv w:val="1"/>
      <w:marLeft w:val="0"/>
      <w:marRight w:val="0"/>
      <w:marTop w:val="0"/>
      <w:marBottom w:val="0"/>
      <w:divBdr>
        <w:top w:val="none" w:sz="0" w:space="0" w:color="auto"/>
        <w:left w:val="none" w:sz="0" w:space="0" w:color="auto"/>
        <w:bottom w:val="none" w:sz="0" w:space="0" w:color="auto"/>
        <w:right w:val="none" w:sz="0" w:space="0" w:color="auto"/>
      </w:divBdr>
      <w:divsChild>
        <w:div w:id="1752047956">
          <w:marLeft w:val="0"/>
          <w:marRight w:val="0"/>
          <w:marTop w:val="0"/>
          <w:marBottom w:val="0"/>
          <w:divBdr>
            <w:top w:val="none" w:sz="0" w:space="0" w:color="auto"/>
            <w:left w:val="none" w:sz="0" w:space="0" w:color="auto"/>
            <w:bottom w:val="none" w:sz="0" w:space="0" w:color="auto"/>
            <w:right w:val="none" w:sz="0" w:space="0" w:color="auto"/>
          </w:divBdr>
          <w:divsChild>
            <w:div w:id="715662271">
              <w:marLeft w:val="0"/>
              <w:marRight w:val="0"/>
              <w:marTop w:val="0"/>
              <w:marBottom w:val="0"/>
              <w:divBdr>
                <w:top w:val="none" w:sz="0" w:space="0" w:color="auto"/>
                <w:left w:val="none" w:sz="0" w:space="0" w:color="auto"/>
                <w:bottom w:val="none" w:sz="0" w:space="0" w:color="auto"/>
                <w:right w:val="none" w:sz="0" w:space="0" w:color="auto"/>
              </w:divBdr>
              <w:divsChild>
                <w:div w:id="1929342785">
                  <w:marLeft w:val="0"/>
                  <w:marRight w:val="0"/>
                  <w:marTop w:val="0"/>
                  <w:marBottom w:val="0"/>
                  <w:divBdr>
                    <w:top w:val="none" w:sz="0" w:space="0" w:color="auto"/>
                    <w:left w:val="none" w:sz="0" w:space="0" w:color="auto"/>
                    <w:bottom w:val="none" w:sz="0" w:space="0" w:color="auto"/>
                    <w:right w:val="none" w:sz="0" w:space="0" w:color="auto"/>
                  </w:divBdr>
                  <w:divsChild>
                    <w:div w:id="1923485213">
                      <w:marLeft w:val="0"/>
                      <w:marRight w:val="0"/>
                      <w:marTop w:val="0"/>
                      <w:marBottom w:val="0"/>
                      <w:divBdr>
                        <w:top w:val="none" w:sz="0" w:space="0" w:color="auto"/>
                        <w:left w:val="none" w:sz="0" w:space="0" w:color="auto"/>
                        <w:bottom w:val="none" w:sz="0" w:space="0" w:color="auto"/>
                        <w:right w:val="none" w:sz="0" w:space="0" w:color="auto"/>
                      </w:divBdr>
                      <w:divsChild>
                        <w:div w:id="373896796">
                          <w:marLeft w:val="0"/>
                          <w:marRight w:val="0"/>
                          <w:marTop w:val="0"/>
                          <w:marBottom w:val="0"/>
                          <w:divBdr>
                            <w:top w:val="none" w:sz="0" w:space="0" w:color="auto"/>
                            <w:left w:val="none" w:sz="0" w:space="0" w:color="auto"/>
                            <w:bottom w:val="none" w:sz="0" w:space="0" w:color="auto"/>
                            <w:right w:val="none" w:sz="0" w:space="0" w:color="auto"/>
                          </w:divBdr>
                          <w:divsChild>
                            <w:div w:id="10620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996762">
      <w:bodyDiv w:val="1"/>
      <w:marLeft w:val="0"/>
      <w:marRight w:val="0"/>
      <w:marTop w:val="0"/>
      <w:marBottom w:val="0"/>
      <w:divBdr>
        <w:top w:val="none" w:sz="0" w:space="0" w:color="auto"/>
        <w:left w:val="none" w:sz="0" w:space="0" w:color="auto"/>
        <w:bottom w:val="none" w:sz="0" w:space="0" w:color="auto"/>
        <w:right w:val="none" w:sz="0" w:space="0" w:color="auto"/>
      </w:divBdr>
      <w:divsChild>
        <w:div w:id="1325401186">
          <w:marLeft w:val="0"/>
          <w:marRight w:val="0"/>
          <w:marTop w:val="0"/>
          <w:marBottom w:val="0"/>
          <w:divBdr>
            <w:top w:val="none" w:sz="0" w:space="0" w:color="auto"/>
            <w:left w:val="none" w:sz="0" w:space="0" w:color="auto"/>
            <w:bottom w:val="none" w:sz="0" w:space="0" w:color="auto"/>
            <w:right w:val="none" w:sz="0" w:space="0" w:color="auto"/>
          </w:divBdr>
          <w:divsChild>
            <w:div w:id="388962758">
              <w:marLeft w:val="0"/>
              <w:marRight w:val="0"/>
              <w:marTop w:val="0"/>
              <w:marBottom w:val="0"/>
              <w:divBdr>
                <w:top w:val="none" w:sz="0" w:space="0" w:color="auto"/>
                <w:left w:val="none" w:sz="0" w:space="0" w:color="auto"/>
                <w:bottom w:val="none" w:sz="0" w:space="0" w:color="auto"/>
                <w:right w:val="none" w:sz="0" w:space="0" w:color="auto"/>
              </w:divBdr>
              <w:divsChild>
                <w:div w:id="194930559">
                  <w:marLeft w:val="0"/>
                  <w:marRight w:val="0"/>
                  <w:marTop w:val="0"/>
                  <w:marBottom w:val="0"/>
                  <w:divBdr>
                    <w:top w:val="none" w:sz="0" w:space="0" w:color="auto"/>
                    <w:left w:val="none" w:sz="0" w:space="0" w:color="auto"/>
                    <w:bottom w:val="none" w:sz="0" w:space="0" w:color="auto"/>
                    <w:right w:val="none" w:sz="0" w:space="0" w:color="auto"/>
                  </w:divBdr>
                  <w:divsChild>
                    <w:div w:id="1241211608">
                      <w:marLeft w:val="0"/>
                      <w:marRight w:val="0"/>
                      <w:marTop w:val="0"/>
                      <w:marBottom w:val="0"/>
                      <w:divBdr>
                        <w:top w:val="none" w:sz="0" w:space="0" w:color="auto"/>
                        <w:left w:val="none" w:sz="0" w:space="0" w:color="auto"/>
                        <w:bottom w:val="none" w:sz="0" w:space="0" w:color="auto"/>
                        <w:right w:val="none" w:sz="0" w:space="0" w:color="auto"/>
                      </w:divBdr>
                      <w:divsChild>
                        <w:div w:id="993755107">
                          <w:marLeft w:val="0"/>
                          <w:marRight w:val="0"/>
                          <w:marTop w:val="0"/>
                          <w:marBottom w:val="0"/>
                          <w:divBdr>
                            <w:top w:val="none" w:sz="0" w:space="0" w:color="auto"/>
                            <w:left w:val="none" w:sz="0" w:space="0" w:color="auto"/>
                            <w:bottom w:val="none" w:sz="0" w:space="0" w:color="auto"/>
                            <w:right w:val="none" w:sz="0" w:space="0" w:color="auto"/>
                          </w:divBdr>
                          <w:divsChild>
                            <w:div w:id="20522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32054">
      <w:bodyDiv w:val="1"/>
      <w:marLeft w:val="0"/>
      <w:marRight w:val="0"/>
      <w:marTop w:val="0"/>
      <w:marBottom w:val="0"/>
      <w:divBdr>
        <w:top w:val="none" w:sz="0" w:space="0" w:color="auto"/>
        <w:left w:val="none" w:sz="0" w:space="0" w:color="auto"/>
        <w:bottom w:val="none" w:sz="0" w:space="0" w:color="auto"/>
        <w:right w:val="none" w:sz="0" w:space="0" w:color="auto"/>
      </w:divBdr>
    </w:div>
    <w:div w:id="950284481">
      <w:bodyDiv w:val="1"/>
      <w:marLeft w:val="0"/>
      <w:marRight w:val="0"/>
      <w:marTop w:val="0"/>
      <w:marBottom w:val="0"/>
      <w:divBdr>
        <w:top w:val="none" w:sz="0" w:space="0" w:color="auto"/>
        <w:left w:val="none" w:sz="0" w:space="0" w:color="auto"/>
        <w:bottom w:val="none" w:sz="0" w:space="0" w:color="auto"/>
        <w:right w:val="none" w:sz="0" w:space="0" w:color="auto"/>
      </w:divBdr>
      <w:divsChild>
        <w:div w:id="44720276">
          <w:marLeft w:val="288"/>
          <w:marRight w:val="0"/>
          <w:marTop w:val="0"/>
          <w:marBottom w:val="108"/>
          <w:divBdr>
            <w:top w:val="none" w:sz="0" w:space="0" w:color="auto"/>
            <w:left w:val="none" w:sz="0" w:space="0" w:color="auto"/>
            <w:bottom w:val="none" w:sz="0" w:space="0" w:color="auto"/>
            <w:right w:val="none" w:sz="0" w:space="0" w:color="auto"/>
          </w:divBdr>
        </w:div>
        <w:div w:id="179661726">
          <w:marLeft w:val="288"/>
          <w:marRight w:val="0"/>
          <w:marTop w:val="0"/>
          <w:marBottom w:val="108"/>
          <w:divBdr>
            <w:top w:val="none" w:sz="0" w:space="0" w:color="auto"/>
            <w:left w:val="none" w:sz="0" w:space="0" w:color="auto"/>
            <w:bottom w:val="none" w:sz="0" w:space="0" w:color="auto"/>
            <w:right w:val="none" w:sz="0" w:space="0" w:color="auto"/>
          </w:divBdr>
        </w:div>
        <w:div w:id="776946379">
          <w:marLeft w:val="288"/>
          <w:marRight w:val="0"/>
          <w:marTop w:val="0"/>
          <w:marBottom w:val="108"/>
          <w:divBdr>
            <w:top w:val="none" w:sz="0" w:space="0" w:color="auto"/>
            <w:left w:val="none" w:sz="0" w:space="0" w:color="auto"/>
            <w:bottom w:val="none" w:sz="0" w:space="0" w:color="auto"/>
            <w:right w:val="none" w:sz="0" w:space="0" w:color="auto"/>
          </w:divBdr>
        </w:div>
      </w:divsChild>
    </w:div>
    <w:div w:id="2034990156">
      <w:bodyDiv w:val="1"/>
      <w:marLeft w:val="0"/>
      <w:marRight w:val="0"/>
      <w:marTop w:val="0"/>
      <w:marBottom w:val="0"/>
      <w:divBdr>
        <w:top w:val="none" w:sz="0" w:space="0" w:color="auto"/>
        <w:left w:val="none" w:sz="0" w:space="0" w:color="auto"/>
        <w:bottom w:val="none" w:sz="0" w:space="0" w:color="auto"/>
        <w:right w:val="none" w:sz="0" w:space="0" w:color="auto"/>
      </w:divBdr>
      <w:divsChild>
        <w:div w:id="1932811147">
          <w:marLeft w:val="-7680"/>
          <w:marRight w:val="0"/>
          <w:marTop w:val="0"/>
          <w:marBottom w:val="0"/>
          <w:divBdr>
            <w:top w:val="none" w:sz="0" w:space="0" w:color="auto"/>
            <w:left w:val="none" w:sz="0" w:space="0" w:color="auto"/>
            <w:bottom w:val="none" w:sz="0" w:space="0" w:color="auto"/>
            <w:right w:val="none" w:sz="0" w:space="0" w:color="auto"/>
          </w:divBdr>
          <w:divsChild>
            <w:div w:id="1151629820">
              <w:marLeft w:val="0"/>
              <w:marRight w:val="0"/>
              <w:marTop w:val="405"/>
              <w:marBottom w:val="0"/>
              <w:divBdr>
                <w:top w:val="none" w:sz="0" w:space="0" w:color="auto"/>
                <w:left w:val="none" w:sz="0" w:space="0" w:color="auto"/>
                <w:bottom w:val="none" w:sz="0" w:space="0" w:color="auto"/>
                <w:right w:val="none" w:sz="0" w:space="0" w:color="auto"/>
              </w:divBdr>
              <w:divsChild>
                <w:div w:id="1348562793">
                  <w:marLeft w:val="0"/>
                  <w:marRight w:val="0"/>
                  <w:marTop w:val="0"/>
                  <w:marBottom w:val="0"/>
                  <w:divBdr>
                    <w:top w:val="none" w:sz="0" w:space="0" w:color="auto"/>
                    <w:left w:val="none" w:sz="0" w:space="0" w:color="auto"/>
                    <w:bottom w:val="none" w:sz="0" w:space="0" w:color="auto"/>
                    <w:right w:val="none" w:sz="0" w:space="0" w:color="auto"/>
                  </w:divBdr>
                  <w:divsChild>
                    <w:div w:id="1247037180">
                      <w:marLeft w:val="0"/>
                      <w:marRight w:val="0"/>
                      <w:marTop w:val="0"/>
                      <w:marBottom w:val="0"/>
                      <w:divBdr>
                        <w:top w:val="none" w:sz="0" w:space="0" w:color="auto"/>
                        <w:left w:val="none" w:sz="0" w:space="0" w:color="auto"/>
                        <w:bottom w:val="none" w:sz="0" w:space="0" w:color="auto"/>
                        <w:right w:val="none" w:sz="0" w:space="0" w:color="auto"/>
                      </w:divBdr>
                      <w:divsChild>
                        <w:div w:id="112672477">
                          <w:marLeft w:val="0"/>
                          <w:marRight w:val="0"/>
                          <w:marTop w:val="0"/>
                          <w:marBottom w:val="0"/>
                          <w:divBdr>
                            <w:top w:val="none" w:sz="0" w:space="0" w:color="auto"/>
                            <w:left w:val="none" w:sz="0" w:space="0" w:color="auto"/>
                            <w:bottom w:val="none" w:sz="0" w:space="0" w:color="auto"/>
                            <w:right w:val="none" w:sz="0" w:space="0" w:color="auto"/>
                          </w:divBdr>
                          <w:divsChild>
                            <w:div w:id="2135757722">
                              <w:marLeft w:val="0"/>
                              <w:marRight w:val="150"/>
                              <w:marTop w:val="0"/>
                              <w:marBottom w:val="0"/>
                              <w:divBdr>
                                <w:top w:val="none" w:sz="0" w:space="0" w:color="auto"/>
                                <w:left w:val="none" w:sz="0" w:space="0" w:color="auto"/>
                                <w:bottom w:val="none" w:sz="0" w:space="0" w:color="auto"/>
                                <w:right w:val="none" w:sz="0" w:space="0" w:color="auto"/>
                              </w:divBdr>
                              <w:divsChild>
                                <w:div w:id="452556711">
                                  <w:marLeft w:val="-60"/>
                                  <w:marRight w:val="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E1EF34\4957_EYc%20News%20Release%20C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4957_EYc News Release CZ</Template>
  <TotalTime>1</TotalTime>
  <Pages>3</Pages>
  <Words>916</Words>
  <Characters>5223</Characters>
  <Application>Microsoft Office Word</Application>
  <DocSecurity>0</DocSecurity>
  <Lines>43</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News release</vt:lpstr>
      <vt:lpstr>News release</vt:lpstr>
    </vt:vector>
  </TitlesOfParts>
  <Company/>
  <LinksUpToDate>false</LinksUpToDate>
  <CharactersWithSpaces>6127</CharactersWithSpaces>
  <SharedDoc>false</SharedDoc>
  <HLinks>
    <vt:vector size="6" baseType="variant">
      <vt:variant>
        <vt:i4>5898308</vt:i4>
      </vt:variant>
      <vt:variant>
        <vt:i4>0</vt:i4>
      </vt:variant>
      <vt:variant>
        <vt:i4>0</vt:i4>
      </vt:variant>
      <vt:variant>
        <vt:i4>5</vt:i4>
      </vt:variant>
      <vt:variant>
        <vt:lpwstr>http://www.ey.com/cz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skyvarova</dc:creator>
  <cp:keywords/>
  <cp:lastModifiedBy>Ernst &amp; Young</cp:lastModifiedBy>
  <cp:revision>2</cp:revision>
  <cp:lastPrinted>2011-03-22T10:15:00Z</cp:lastPrinted>
  <dcterms:created xsi:type="dcterms:W3CDTF">2011-03-22T13:34:00Z</dcterms:created>
  <dcterms:modified xsi:type="dcterms:W3CDTF">2011-03-22T13:34:00Z</dcterms:modified>
</cp:coreProperties>
</file>