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58" w:rsidRPr="007205B4" w:rsidRDefault="00527258" w:rsidP="00527258">
      <w:pPr>
        <w:pStyle w:val="EYBodytextsubhead1"/>
        <w:ind w:right="-85"/>
        <w:rPr>
          <w:rFonts w:ascii="Arial" w:hAnsi="Arial" w:cs="Arial"/>
          <w:b w:val="0"/>
          <w:sz w:val="36"/>
          <w:szCs w:val="36"/>
          <w:lang w:val="cs-CZ"/>
        </w:rPr>
      </w:pPr>
      <w:r w:rsidRPr="007205B4">
        <w:rPr>
          <w:rFonts w:ascii="Arial" w:hAnsi="Arial" w:cs="Arial"/>
          <w:b w:val="0"/>
          <w:sz w:val="36"/>
          <w:szCs w:val="36"/>
          <w:lang w:val="cs-CZ"/>
        </w:rPr>
        <w:t>Tisková zpráva</w:t>
      </w:r>
    </w:p>
    <w:p w:rsidR="00527258" w:rsidRPr="007205B4" w:rsidRDefault="00527258" w:rsidP="00527258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7205B4">
        <w:rPr>
          <w:rFonts w:ascii="Arial" w:hAnsi="Arial" w:cs="Arial"/>
          <w:b w:val="0"/>
          <w:sz w:val="20"/>
          <w:szCs w:val="20"/>
          <w:lang w:val="cs-CZ"/>
        </w:rPr>
        <w:tab/>
      </w:r>
      <w:r w:rsidR="00A00396">
        <w:rPr>
          <w:rFonts w:ascii="Arial" w:hAnsi="Arial" w:cs="Arial"/>
          <w:b w:val="0"/>
          <w:sz w:val="16"/>
          <w:szCs w:val="16"/>
          <w:lang w:val="cs-CZ"/>
        </w:rPr>
        <w:t>Lenka Č</w:t>
      </w:r>
      <w:r>
        <w:rPr>
          <w:rFonts w:ascii="Arial" w:hAnsi="Arial" w:cs="Arial"/>
          <w:b w:val="0"/>
          <w:sz w:val="16"/>
          <w:szCs w:val="16"/>
          <w:lang w:val="cs-CZ"/>
        </w:rPr>
        <w:t>ermáková</w:t>
      </w:r>
      <w:r w:rsidRPr="007205B4">
        <w:rPr>
          <w:rFonts w:ascii="Arial" w:hAnsi="Arial" w:cs="Arial"/>
          <w:b w:val="0"/>
          <w:sz w:val="16"/>
          <w:szCs w:val="16"/>
          <w:lang w:val="cs-CZ"/>
        </w:rPr>
        <w:tab/>
        <w:t>Monika Veselá</w:t>
      </w:r>
    </w:p>
    <w:p w:rsidR="00527258" w:rsidRPr="007205B4" w:rsidRDefault="00527258" w:rsidP="00527258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7205B4">
        <w:rPr>
          <w:rFonts w:ascii="Arial" w:hAnsi="Arial" w:cs="Arial"/>
          <w:b w:val="0"/>
          <w:sz w:val="16"/>
          <w:szCs w:val="16"/>
          <w:lang w:val="cs-CZ"/>
        </w:rPr>
        <w:tab/>
        <w:t>Ernst &amp; Young</w:t>
      </w:r>
      <w:r w:rsidRPr="007205B4">
        <w:rPr>
          <w:rFonts w:ascii="Arial" w:hAnsi="Arial" w:cs="Arial"/>
          <w:b w:val="0"/>
          <w:sz w:val="16"/>
          <w:szCs w:val="16"/>
          <w:lang w:val="cs-CZ"/>
        </w:rPr>
        <w:tab/>
        <w:t>Fleishman Hillard</w:t>
      </w:r>
    </w:p>
    <w:p w:rsidR="00527258" w:rsidRPr="007205B4" w:rsidRDefault="00527258" w:rsidP="00527258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>
        <w:rPr>
          <w:rFonts w:ascii="Arial" w:hAnsi="Arial" w:cs="Arial"/>
          <w:b w:val="0"/>
          <w:sz w:val="16"/>
          <w:szCs w:val="16"/>
          <w:lang w:val="cs-CZ"/>
        </w:rPr>
        <w:tab/>
        <w:t>Tel.: +420 225 335 967</w:t>
      </w:r>
      <w:r w:rsidRPr="007205B4">
        <w:rPr>
          <w:rFonts w:ascii="Arial" w:hAnsi="Arial" w:cs="Arial"/>
          <w:b w:val="0"/>
          <w:sz w:val="16"/>
          <w:szCs w:val="16"/>
          <w:lang w:val="cs-CZ"/>
        </w:rPr>
        <w:tab/>
        <w:t>Tel.: +420 234 669</w:t>
      </w:r>
      <w:r>
        <w:rPr>
          <w:rFonts w:ascii="Arial" w:hAnsi="Arial" w:cs="Arial"/>
          <w:b w:val="0"/>
          <w:sz w:val="16"/>
          <w:szCs w:val="16"/>
          <w:lang w:val="cs-CZ"/>
        </w:rPr>
        <w:t> </w:t>
      </w:r>
      <w:r w:rsidRPr="007205B4">
        <w:rPr>
          <w:rFonts w:ascii="Arial" w:hAnsi="Arial" w:cs="Arial"/>
          <w:b w:val="0"/>
          <w:sz w:val="16"/>
          <w:szCs w:val="16"/>
          <w:lang w:val="cs-CZ"/>
        </w:rPr>
        <w:t>504</w:t>
      </w:r>
      <w:r>
        <w:rPr>
          <w:rFonts w:ascii="Arial" w:hAnsi="Arial" w:cs="Arial"/>
          <w:b w:val="0"/>
          <w:sz w:val="16"/>
          <w:szCs w:val="16"/>
          <w:lang w:val="cs-CZ"/>
        </w:rPr>
        <w:t xml:space="preserve"> </w:t>
      </w:r>
    </w:p>
    <w:p w:rsidR="00527258" w:rsidRPr="007205B4" w:rsidRDefault="00527258" w:rsidP="00527258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7205B4">
        <w:rPr>
          <w:rFonts w:ascii="Arial" w:hAnsi="Arial" w:cs="Arial"/>
          <w:b w:val="0"/>
          <w:sz w:val="16"/>
          <w:szCs w:val="16"/>
          <w:lang w:val="cs-CZ"/>
        </w:rPr>
        <w:tab/>
        <w:t>Mobile: +420</w:t>
      </w:r>
      <w:r>
        <w:rPr>
          <w:rFonts w:ascii="Arial" w:hAnsi="Arial" w:cs="Arial"/>
          <w:b w:val="0"/>
          <w:sz w:val="16"/>
          <w:szCs w:val="16"/>
          <w:lang w:val="cs-CZ"/>
        </w:rPr>
        <w:t> 731 627 166</w:t>
      </w:r>
      <w:r w:rsidRPr="007205B4">
        <w:rPr>
          <w:rFonts w:ascii="Arial" w:hAnsi="Arial" w:cs="Arial"/>
          <w:b w:val="0"/>
          <w:sz w:val="16"/>
          <w:szCs w:val="16"/>
          <w:lang w:val="cs-CZ"/>
        </w:rPr>
        <w:tab/>
        <w:t>Mobile: +420 604 333 320</w:t>
      </w:r>
    </w:p>
    <w:p w:rsidR="00527258" w:rsidRPr="007205B4" w:rsidRDefault="00527258" w:rsidP="00527258">
      <w:pPr>
        <w:pStyle w:val="EYBodytextsubhead1"/>
        <w:tabs>
          <w:tab w:val="clear" w:pos="907"/>
          <w:tab w:val="left" w:pos="2548"/>
          <w:tab w:val="left" w:pos="6565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  <w:r w:rsidRPr="007205B4">
        <w:rPr>
          <w:rFonts w:ascii="Arial" w:hAnsi="Arial" w:cs="Arial"/>
          <w:b w:val="0"/>
          <w:sz w:val="16"/>
          <w:szCs w:val="16"/>
          <w:lang w:val="cs-CZ"/>
        </w:rPr>
        <w:tab/>
        <w:t xml:space="preserve">E-mail: </w:t>
      </w:r>
      <w:r>
        <w:rPr>
          <w:rFonts w:ascii="Arial" w:hAnsi="Arial" w:cs="Arial"/>
          <w:b w:val="0"/>
          <w:sz w:val="16"/>
          <w:szCs w:val="16"/>
          <w:lang w:val="cs-CZ"/>
        </w:rPr>
        <w:t>lenka.cermakova</w:t>
      </w:r>
      <w:r w:rsidRPr="007205B4">
        <w:rPr>
          <w:rFonts w:ascii="Arial" w:hAnsi="Arial" w:cs="Arial"/>
          <w:b w:val="0"/>
          <w:sz w:val="16"/>
          <w:szCs w:val="16"/>
          <w:lang w:val="cs-CZ"/>
        </w:rPr>
        <w:t>@cz.ey.com</w:t>
      </w:r>
      <w:r w:rsidRPr="007205B4">
        <w:rPr>
          <w:rFonts w:ascii="Arial" w:hAnsi="Arial" w:cs="Arial"/>
          <w:b w:val="0"/>
          <w:sz w:val="16"/>
          <w:szCs w:val="16"/>
          <w:lang w:val="cs-CZ"/>
        </w:rPr>
        <w:tab/>
        <w:t>E-mail: monika.vesela@fleishman.com</w:t>
      </w:r>
    </w:p>
    <w:p w:rsidR="00527258" w:rsidRPr="007205B4" w:rsidRDefault="00527258" w:rsidP="00527258">
      <w:pPr>
        <w:pStyle w:val="EYBodytextsubhead1"/>
        <w:tabs>
          <w:tab w:val="clear" w:pos="907"/>
          <w:tab w:val="left" w:pos="2548"/>
          <w:tab w:val="left" w:pos="6162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</w:p>
    <w:p w:rsidR="00527258" w:rsidRPr="007205B4" w:rsidRDefault="00527258" w:rsidP="00527258">
      <w:pPr>
        <w:pStyle w:val="EYBodytextsubhead1"/>
        <w:tabs>
          <w:tab w:val="clear" w:pos="907"/>
          <w:tab w:val="left" w:pos="2548"/>
          <w:tab w:val="left" w:pos="6162"/>
        </w:tabs>
        <w:spacing w:after="0" w:line="240" w:lineRule="auto"/>
        <w:ind w:right="-85"/>
        <w:rPr>
          <w:rFonts w:ascii="Arial" w:hAnsi="Arial" w:cs="Arial"/>
          <w:b w:val="0"/>
          <w:sz w:val="16"/>
          <w:szCs w:val="16"/>
          <w:lang w:val="cs-CZ"/>
        </w:rPr>
      </w:pPr>
    </w:p>
    <w:p w:rsidR="00DF16A8" w:rsidRPr="00DF16A8" w:rsidRDefault="00DF16A8" w:rsidP="00A10CD6">
      <w:pPr>
        <w:spacing w:line="360" w:lineRule="auto"/>
        <w:rPr>
          <w:rFonts w:ascii="Arial" w:hAnsi="Arial"/>
          <w:b/>
          <w:kern w:val="12"/>
          <w:sz w:val="28"/>
          <w:szCs w:val="28"/>
        </w:rPr>
      </w:pPr>
      <w:r>
        <w:rPr>
          <w:rFonts w:ascii="Arial" w:hAnsi="Arial"/>
          <w:b/>
          <w:kern w:val="12"/>
          <w:sz w:val="28"/>
          <w:szCs w:val="28"/>
        </w:rPr>
        <w:t>Nejzávažnějšími podnikatelskými riziky současnosti jsou podle analytiků a manažerů r</w:t>
      </w:r>
      <w:r w:rsidRPr="00DF16A8">
        <w:rPr>
          <w:rFonts w:ascii="Arial" w:hAnsi="Arial"/>
          <w:b/>
          <w:kern w:val="12"/>
          <w:sz w:val="28"/>
          <w:szCs w:val="28"/>
        </w:rPr>
        <w:t xml:space="preserve">egulace a </w:t>
      </w:r>
      <w:r>
        <w:rPr>
          <w:rFonts w:ascii="Arial" w:hAnsi="Arial"/>
          <w:b/>
          <w:kern w:val="12"/>
          <w:sz w:val="28"/>
          <w:szCs w:val="28"/>
        </w:rPr>
        <w:t>snižování nákladů</w:t>
      </w:r>
      <w:r w:rsidRPr="00DF16A8">
        <w:rPr>
          <w:rFonts w:ascii="Arial" w:hAnsi="Arial"/>
          <w:b/>
          <w:kern w:val="12"/>
          <w:sz w:val="28"/>
          <w:szCs w:val="28"/>
        </w:rPr>
        <w:t xml:space="preserve"> </w:t>
      </w:r>
    </w:p>
    <w:p w:rsidR="00DF16A8" w:rsidRPr="00DF16A8" w:rsidRDefault="00DF16A8" w:rsidP="00DF16A8">
      <w:pPr>
        <w:spacing w:line="360" w:lineRule="auto"/>
        <w:rPr>
          <w:rFonts w:ascii="Arial" w:hAnsi="Arial"/>
          <w:b/>
          <w:i/>
          <w:kern w:val="12"/>
          <w:sz w:val="22"/>
        </w:rPr>
      </w:pPr>
      <w:r w:rsidRPr="00DF16A8">
        <w:rPr>
          <w:rFonts w:ascii="Arial" w:hAnsi="Arial"/>
          <w:b/>
          <w:i/>
          <w:kern w:val="12"/>
          <w:sz w:val="22"/>
        </w:rPr>
        <w:t xml:space="preserve">V boji o podíl na trhu uspějí jen flexibilní a cenově konkurenceschopné firmy </w:t>
      </w:r>
    </w:p>
    <w:p w:rsidR="00DF16A8" w:rsidRPr="00A10CD6" w:rsidRDefault="00DF16A8" w:rsidP="00A10CD6">
      <w:pPr>
        <w:spacing w:line="360" w:lineRule="auto"/>
        <w:rPr>
          <w:rFonts w:ascii="Arial" w:hAnsi="Arial"/>
          <w:b/>
          <w:i/>
          <w:kern w:val="12"/>
          <w:sz w:val="22"/>
        </w:rPr>
      </w:pPr>
    </w:p>
    <w:p w:rsidR="00A10CD6" w:rsidRPr="00727FAF" w:rsidRDefault="00A10CD6" w:rsidP="00A10CD6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i/>
          <w:sz w:val="22"/>
          <w:szCs w:val="22"/>
        </w:rPr>
        <w:t>Praha</w:t>
      </w:r>
      <w:r w:rsidRPr="00B718BF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1</w:t>
      </w:r>
      <w:r w:rsidR="008832BA">
        <w:rPr>
          <w:rFonts w:ascii="Arial" w:hAnsi="Arial" w:cs="Arial"/>
          <w:i/>
          <w:sz w:val="22"/>
          <w:szCs w:val="22"/>
        </w:rPr>
        <w:t>5</w:t>
      </w:r>
      <w:r>
        <w:rPr>
          <w:rFonts w:ascii="Arial" w:hAnsi="Arial" w:cs="Arial"/>
          <w:i/>
          <w:sz w:val="22"/>
          <w:szCs w:val="22"/>
        </w:rPr>
        <w:t>. června</w:t>
      </w:r>
      <w:r w:rsidRPr="00B718BF">
        <w:rPr>
          <w:rFonts w:ascii="Arial" w:hAnsi="Arial" w:cs="Arial"/>
          <w:i/>
          <w:sz w:val="22"/>
          <w:szCs w:val="22"/>
        </w:rPr>
        <w:t xml:space="preserve"> 2011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718BF">
        <w:rPr>
          <w:rFonts w:ascii="Arial" w:hAnsi="Arial" w:cs="Arial"/>
          <w:sz w:val="22"/>
          <w:szCs w:val="22"/>
        </w:rPr>
        <w:t>–</w:t>
      </w:r>
      <w:r w:rsidR="00A00396">
        <w:rPr>
          <w:rFonts w:ascii="Arial" w:hAnsi="Arial" w:cs="Arial"/>
          <w:sz w:val="22"/>
        </w:rPr>
        <w:t xml:space="preserve"> </w:t>
      </w:r>
      <w:r w:rsidR="006B2A8F" w:rsidRPr="00727FAF">
        <w:rPr>
          <w:rFonts w:ascii="Arial" w:hAnsi="Arial" w:cs="Arial"/>
          <w:b/>
          <w:sz w:val="22"/>
        </w:rPr>
        <w:t xml:space="preserve">Nestabilní ekonomická situace </w:t>
      </w:r>
      <w:r w:rsidR="00D55378" w:rsidRPr="00727FAF">
        <w:rPr>
          <w:rFonts w:ascii="Arial" w:hAnsi="Arial" w:cs="Arial"/>
          <w:b/>
          <w:sz w:val="22"/>
        </w:rPr>
        <w:t xml:space="preserve">vede </w:t>
      </w:r>
      <w:r w:rsidR="006B2A8F" w:rsidRPr="00727FAF">
        <w:rPr>
          <w:rFonts w:ascii="Arial" w:hAnsi="Arial" w:cs="Arial"/>
          <w:b/>
          <w:sz w:val="22"/>
        </w:rPr>
        <w:t xml:space="preserve">podniky k tomu, aby byly pružnější a efektivněji hospodařily. </w:t>
      </w:r>
      <w:r w:rsidRPr="00727FAF">
        <w:rPr>
          <w:rFonts w:ascii="Arial" w:hAnsi="Arial" w:cs="Arial"/>
          <w:b/>
          <w:sz w:val="22"/>
        </w:rPr>
        <w:t xml:space="preserve">Největší potenciál pro následující tři roky </w:t>
      </w:r>
      <w:r w:rsidR="006B2A8F" w:rsidRPr="00727FAF">
        <w:rPr>
          <w:rFonts w:ascii="Arial" w:hAnsi="Arial" w:cs="Arial"/>
          <w:b/>
          <w:sz w:val="22"/>
        </w:rPr>
        <w:t xml:space="preserve">vidí odborníci v </w:t>
      </w:r>
      <w:r w:rsidRPr="00727FAF">
        <w:rPr>
          <w:rFonts w:ascii="Arial" w:hAnsi="Arial" w:cs="Arial"/>
          <w:b/>
          <w:sz w:val="22"/>
        </w:rPr>
        <w:t>posílení provozní flexibility a optimalizace konkurenceschopnosti v oblasti nákladů.</w:t>
      </w:r>
      <w:r w:rsidR="006B2A8F" w:rsidRPr="00727FAF">
        <w:rPr>
          <w:rFonts w:ascii="Arial" w:hAnsi="Arial" w:cs="Arial"/>
          <w:b/>
          <w:sz w:val="22"/>
        </w:rPr>
        <w:t xml:space="preserve"> Vyplývá to</w:t>
      </w:r>
      <w:r w:rsidR="00A00396" w:rsidRPr="00727FAF">
        <w:rPr>
          <w:rFonts w:ascii="Arial" w:hAnsi="Arial" w:cs="Arial"/>
          <w:b/>
          <w:sz w:val="22"/>
        </w:rPr>
        <w:t xml:space="preserve"> z pravidelného průzkumu společnosti Ernst &amp; Young, který se zaměřuje na nejvýznamnější globální podnikatelská rizika a příležitosti. </w:t>
      </w:r>
      <w:r w:rsidR="00727FAF" w:rsidRPr="00727FAF">
        <w:rPr>
          <w:rFonts w:ascii="Arial" w:hAnsi="Arial" w:cs="Arial"/>
          <w:b/>
          <w:sz w:val="22"/>
        </w:rPr>
        <w:t>Pokud jde o podnikatelská rizika, největšími z nich zůstávají bez ohledu na vyspělost ekonomiky regulace a dodržování předpisů a snižování nákladů.</w:t>
      </w:r>
      <w:r w:rsidR="00C676B6">
        <w:rPr>
          <w:rFonts w:ascii="Arial" w:hAnsi="Arial" w:cs="Arial"/>
          <w:b/>
          <w:sz w:val="22"/>
        </w:rPr>
        <w:t xml:space="preserve"> Nově se </w:t>
      </w:r>
      <w:r w:rsidR="00381B50">
        <w:rPr>
          <w:rFonts w:ascii="Arial" w:hAnsi="Arial" w:cs="Arial"/>
          <w:b/>
          <w:sz w:val="22"/>
        </w:rPr>
        <w:t>v žebříčku deseti nejzávažnějších rizik</w:t>
      </w:r>
      <w:r w:rsidR="00C676B6">
        <w:rPr>
          <w:rFonts w:ascii="Arial" w:hAnsi="Arial" w:cs="Arial"/>
          <w:b/>
          <w:sz w:val="22"/>
        </w:rPr>
        <w:t xml:space="preserve"> objevil</w:t>
      </w:r>
      <w:r w:rsidR="00381B50">
        <w:rPr>
          <w:rFonts w:ascii="Arial" w:hAnsi="Arial" w:cs="Arial"/>
          <w:b/>
          <w:sz w:val="22"/>
        </w:rPr>
        <w:t>a tržní rizika a</w:t>
      </w:r>
      <w:r w:rsidR="00C676B6">
        <w:rPr>
          <w:rFonts w:ascii="Arial" w:hAnsi="Arial" w:cs="Arial"/>
          <w:b/>
          <w:sz w:val="22"/>
        </w:rPr>
        <w:t xml:space="preserve"> posi</w:t>
      </w:r>
      <w:r w:rsidR="00381B50">
        <w:rPr>
          <w:rFonts w:ascii="Arial" w:hAnsi="Arial" w:cs="Arial"/>
          <w:b/>
          <w:sz w:val="22"/>
        </w:rPr>
        <w:t>lování role státu</w:t>
      </w:r>
      <w:r w:rsidR="00C676B6">
        <w:rPr>
          <w:rFonts w:ascii="Arial" w:hAnsi="Arial" w:cs="Arial"/>
          <w:b/>
          <w:sz w:val="22"/>
        </w:rPr>
        <w:t xml:space="preserve">. </w:t>
      </w:r>
    </w:p>
    <w:p w:rsidR="00A10CD6" w:rsidRDefault="00A10CD6" w:rsidP="00A10CD6">
      <w:pPr>
        <w:spacing w:line="360" w:lineRule="auto"/>
        <w:rPr>
          <w:rFonts w:ascii="Arial" w:hAnsi="Arial" w:cs="Arial"/>
          <w:sz w:val="22"/>
        </w:rPr>
      </w:pPr>
    </w:p>
    <w:p w:rsidR="00A10CD6" w:rsidRDefault="00A10CD6" w:rsidP="00A10CD6">
      <w:pPr>
        <w:spacing w:line="360" w:lineRule="auto"/>
        <w:rPr>
          <w:rFonts w:ascii="Arial" w:hAnsi="Arial" w:cs="Arial"/>
          <w:i/>
          <w:sz w:val="22"/>
        </w:rPr>
      </w:pPr>
      <w:r w:rsidRPr="00FA151C">
        <w:rPr>
          <w:rFonts w:ascii="Arial" w:hAnsi="Arial" w:cs="Arial"/>
          <w:i/>
          <w:sz w:val="22"/>
        </w:rPr>
        <w:t>„Do řady odvětví ekonomiky se vrací růst,“</w:t>
      </w:r>
      <w:r w:rsidRPr="006967EE">
        <w:rPr>
          <w:rFonts w:ascii="Arial" w:hAnsi="Arial" w:cs="Arial"/>
          <w:sz w:val="22"/>
        </w:rPr>
        <w:t xml:space="preserve"> říká </w:t>
      </w:r>
      <w:r w:rsidR="00A00396">
        <w:rPr>
          <w:rFonts w:ascii="Arial" w:hAnsi="Arial" w:cs="Arial"/>
          <w:sz w:val="22"/>
        </w:rPr>
        <w:t xml:space="preserve">Jan Fanta, partner </w:t>
      </w:r>
      <w:r w:rsidR="00FA151C">
        <w:rPr>
          <w:rFonts w:ascii="Arial" w:hAnsi="Arial" w:cs="Arial"/>
          <w:sz w:val="22"/>
        </w:rPr>
        <w:t xml:space="preserve">oddělení </w:t>
      </w:r>
      <w:r w:rsidR="00A00396">
        <w:rPr>
          <w:rFonts w:ascii="Arial" w:hAnsi="Arial" w:cs="Arial"/>
          <w:sz w:val="22"/>
        </w:rPr>
        <w:t xml:space="preserve">podnikového poradenství a řízení rizik </w:t>
      </w:r>
      <w:r w:rsidR="00FA151C">
        <w:rPr>
          <w:rFonts w:ascii="Arial" w:hAnsi="Arial" w:cs="Arial"/>
          <w:sz w:val="22"/>
        </w:rPr>
        <w:t xml:space="preserve">společnosti </w:t>
      </w:r>
      <w:r w:rsidR="00A00396">
        <w:rPr>
          <w:rFonts w:ascii="Arial" w:hAnsi="Arial" w:cs="Arial"/>
          <w:sz w:val="22"/>
        </w:rPr>
        <w:t>Ernst &amp; Young</w:t>
      </w:r>
      <w:r w:rsidR="00FA151C">
        <w:rPr>
          <w:rFonts w:ascii="Arial" w:hAnsi="Arial" w:cs="Arial"/>
          <w:sz w:val="22"/>
        </w:rPr>
        <w:t>.</w:t>
      </w:r>
      <w:r w:rsidRPr="006967EE">
        <w:rPr>
          <w:rFonts w:ascii="Arial" w:hAnsi="Arial" w:cs="Arial"/>
          <w:sz w:val="22"/>
        </w:rPr>
        <w:t xml:space="preserve"> „</w:t>
      </w:r>
      <w:r w:rsidR="006B2A8F">
        <w:rPr>
          <w:rFonts w:ascii="Arial" w:hAnsi="Arial" w:cs="Arial"/>
          <w:i/>
          <w:sz w:val="22"/>
        </w:rPr>
        <w:t xml:space="preserve">Zatímco pro několik uplynulých </w:t>
      </w:r>
      <w:r w:rsidRPr="00FA151C">
        <w:rPr>
          <w:rFonts w:ascii="Arial" w:hAnsi="Arial" w:cs="Arial"/>
          <w:i/>
          <w:sz w:val="22"/>
        </w:rPr>
        <w:t xml:space="preserve">let </w:t>
      </w:r>
      <w:r w:rsidR="00645C46">
        <w:rPr>
          <w:rFonts w:ascii="Arial" w:hAnsi="Arial" w:cs="Arial"/>
          <w:i/>
          <w:sz w:val="22"/>
        </w:rPr>
        <w:t>bylo charakteristické okamžité</w:t>
      </w:r>
      <w:r w:rsidRPr="00FA151C">
        <w:rPr>
          <w:rFonts w:ascii="Arial" w:hAnsi="Arial" w:cs="Arial"/>
          <w:i/>
          <w:sz w:val="22"/>
        </w:rPr>
        <w:t xml:space="preserve"> snižování nákladů, nyní společnosti reagují na konkurenci důslednější realizací strategie a investicemi do provozní flexibility a konkurenceschopnosti.“</w:t>
      </w:r>
    </w:p>
    <w:p w:rsidR="00D55378" w:rsidRDefault="00D55378" w:rsidP="00A10CD6">
      <w:pPr>
        <w:spacing w:line="360" w:lineRule="auto"/>
        <w:rPr>
          <w:rFonts w:ascii="Arial" w:hAnsi="Arial" w:cs="Arial"/>
          <w:i/>
          <w:sz w:val="22"/>
        </w:rPr>
      </w:pPr>
    </w:p>
    <w:p w:rsidR="00D55378" w:rsidRPr="00A10CD6" w:rsidRDefault="00D55378" w:rsidP="00D55378">
      <w:pPr>
        <w:spacing w:line="360" w:lineRule="auto"/>
        <w:rPr>
          <w:rFonts w:ascii="Arial" w:hAnsi="Arial" w:cs="Arial"/>
          <w:b/>
          <w:sz w:val="22"/>
          <w:lang w:eastAsia="en-GB"/>
        </w:rPr>
      </w:pPr>
      <w:r w:rsidRPr="00A10CD6">
        <w:rPr>
          <w:rFonts w:ascii="Arial" w:hAnsi="Arial" w:cs="Arial"/>
          <w:b/>
          <w:sz w:val="22"/>
          <w:lang w:eastAsia="en-GB"/>
        </w:rPr>
        <w:t xml:space="preserve">Žebříček </w:t>
      </w:r>
      <w:r w:rsidR="00727FAF">
        <w:rPr>
          <w:rFonts w:ascii="Arial" w:hAnsi="Arial" w:cs="Arial"/>
          <w:b/>
          <w:sz w:val="22"/>
          <w:lang w:eastAsia="en-GB"/>
        </w:rPr>
        <w:t xml:space="preserve">Top 10 </w:t>
      </w:r>
      <w:r w:rsidRPr="00A10CD6">
        <w:rPr>
          <w:rFonts w:ascii="Arial" w:hAnsi="Arial" w:cs="Arial"/>
          <w:b/>
          <w:sz w:val="22"/>
          <w:lang w:eastAsia="en-GB"/>
        </w:rPr>
        <w:t>nej</w:t>
      </w:r>
      <w:r w:rsidR="00DF16A8">
        <w:rPr>
          <w:rFonts w:ascii="Arial" w:hAnsi="Arial" w:cs="Arial"/>
          <w:b/>
          <w:sz w:val="22"/>
          <w:lang w:eastAsia="en-GB"/>
        </w:rPr>
        <w:t>větších</w:t>
      </w:r>
      <w:r w:rsidR="00727FAF">
        <w:rPr>
          <w:rFonts w:ascii="Arial" w:hAnsi="Arial" w:cs="Arial"/>
          <w:b/>
          <w:sz w:val="22"/>
          <w:lang w:eastAsia="en-GB"/>
        </w:rPr>
        <w:t xml:space="preserve"> </w:t>
      </w:r>
      <w:r w:rsidRPr="00A10CD6">
        <w:rPr>
          <w:rFonts w:ascii="Arial" w:hAnsi="Arial" w:cs="Arial"/>
          <w:b/>
          <w:sz w:val="22"/>
          <w:lang w:eastAsia="en-GB"/>
        </w:rPr>
        <w:t xml:space="preserve">podnikatelských rizik  </w:t>
      </w:r>
    </w:p>
    <w:p w:rsidR="00D55378" w:rsidRPr="006967EE" w:rsidRDefault="00D55378" w:rsidP="00D55378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lang w:eastAsia="en-GB"/>
        </w:rPr>
      </w:pPr>
      <w:r w:rsidRPr="006967EE">
        <w:rPr>
          <w:rFonts w:ascii="Arial" w:hAnsi="Arial" w:cs="Arial"/>
          <w:sz w:val="22"/>
          <w:lang w:eastAsia="en-GB"/>
        </w:rPr>
        <w:t xml:space="preserve">Regulace a </w:t>
      </w:r>
      <w:r w:rsidR="00DF16A8">
        <w:rPr>
          <w:rFonts w:ascii="Arial" w:hAnsi="Arial" w:cs="Arial"/>
          <w:sz w:val="22"/>
          <w:lang w:eastAsia="en-GB"/>
        </w:rPr>
        <w:t xml:space="preserve">shoda se zákonnými požadavky </w:t>
      </w:r>
      <w:r>
        <w:rPr>
          <w:rFonts w:ascii="Arial" w:hAnsi="Arial" w:cs="Arial"/>
          <w:sz w:val="22"/>
          <w:lang w:eastAsia="en-GB"/>
        </w:rPr>
        <w:t>(compliance)</w:t>
      </w:r>
    </w:p>
    <w:p w:rsidR="00D55378" w:rsidRPr="006967EE" w:rsidRDefault="00D55378" w:rsidP="00D55378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lang w:eastAsia="en-GB"/>
        </w:rPr>
      </w:pPr>
      <w:r w:rsidRPr="006967EE">
        <w:rPr>
          <w:rFonts w:ascii="Arial" w:hAnsi="Arial" w:cs="Arial"/>
          <w:sz w:val="22"/>
          <w:lang w:eastAsia="en-GB"/>
        </w:rPr>
        <w:t>Snižování nákladů</w:t>
      </w:r>
    </w:p>
    <w:p w:rsidR="00D55378" w:rsidRPr="006967EE" w:rsidRDefault="00D55378" w:rsidP="00D55378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Využití potenciálu schopných pracovníků </w:t>
      </w:r>
    </w:p>
    <w:p w:rsidR="00D55378" w:rsidRPr="006967EE" w:rsidRDefault="00D55378" w:rsidP="00D55378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lang w:eastAsia="en-GB"/>
        </w:rPr>
      </w:pPr>
      <w:r w:rsidRPr="006967EE">
        <w:rPr>
          <w:rFonts w:ascii="Arial" w:hAnsi="Arial" w:cs="Arial"/>
          <w:sz w:val="22"/>
          <w:lang w:eastAsia="en-GB"/>
        </w:rPr>
        <w:t>Tlak na snižování cen</w:t>
      </w:r>
    </w:p>
    <w:p w:rsidR="00D55378" w:rsidRPr="006967EE" w:rsidRDefault="00D55378" w:rsidP="00D55378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lang w:eastAsia="en-GB"/>
        </w:rPr>
      </w:pPr>
      <w:r w:rsidRPr="006967EE">
        <w:rPr>
          <w:rFonts w:ascii="Arial" w:hAnsi="Arial" w:cs="Arial"/>
          <w:sz w:val="22"/>
          <w:lang w:eastAsia="en-GB"/>
        </w:rPr>
        <w:t xml:space="preserve">Nové technologie </w:t>
      </w:r>
    </w:p>
    <w:p w:rsidR="00D55378" w:rsidRPr="006967EE" w:rsidRDefault="00D55378" w:rsidP="00D55378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lang w:eastAsia="en-GB"/>
        </w:rPr>
      </w:pPr>
      <w:r w:rsidRPr="006967EE">
        <w:rPr>
          <w:rFonts w:ascii="Arial" w:hAnsi="Arial" w:cs="Arial"/>
          <w:sz w:val="22"/>
          <w:lang w:eastAsia="en-GB"/>
        </w:rPr>
        <w:t>Tržní rizika</w:t>
      </w:r>
    </w:p>
    <w:p w:rsidR="00D55378" w:rsidRPr="006967EE" w:rsidRDefault="00D55378" w:rsidP="00D55378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lang w:eastAsia="en-GB"/>
        </w:rPr>
      </w:pPr>
      <w:r w:rsidRPr="006967EE">
        <w:rPr>
          <w:rFonts w:ascii="Arial" w:hAnsi="Arial" w:cs="Arial"/>
          <w:sz w:val="22"/>
          <w:lang w:eastAsia="en-GB"/>
        </w:rPr>
        <w:t xml:space="preserve">Posilování role státu </w:t>
      </w:r>
    </w:p>
    <w:p w:rsidR="00D55378" w:rsidRPr="006967EE" w:rsidRDefault="00D55378" w:rsidP="00D55378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Pomalé hospodářské oživení/návrat recese</w:t>
      </w:r>
    </w:p>
    <w:p w:rsidR="00D55378" w:rsidRPr="006967EE" w:rsidRDefault="00D55378" w:rsidP="00D55378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lang w:eastAsia="en-GB"/>
        </w:rPr>
      </w:pPr>
      <w:r w:rsidRPr="006967EE">
        <w:rPr>
          <w:rFonts w:ascii="Arial" w:hAnsi="Arial" w:cs="Arial"/>
          <w:sz w:val="22"/>
          <w:lang w:eastAsia="en-GB"/>
        </w:rPr>
        <w:t xml:space="preserve">Rizika společenské přijatelnosti a společenské odpovědnosti firem </w:t>
      </w:r>
    </w:p>
    <w:p w:rsidR="00D55378" w:rsidRDefault="00D55378" w:rsidP="00D55378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lang w:eastAsia="en-GB"/>
        </w:rPr>
      </w:pPr>
      <w:r w:rsidRPr="006967EE">
        <w:rPr>
          <w:rFonts w:ascii="Arial" w:hAnsi="Arial" w:cs="Arial"/>
          <w:sz w:val="22"/>
          <w:lang w:eastAsia="en-GB"/>
        </w:rPr>
        <w:t>Přístup k</w:t>
      </w:r>
      <w:r>
        <w:rPr>
          <w:rFonts w:ascii="Arial" w:hAnsi="Arial" w:cs="Arial"/>
          <w:sz w:val="22"/>
          <w:lang w:eastAsia="en-GB"/>
        </w:rPr>
        <w:t> </w:t>
      </w:r>
      <w:r w:rsidRPr="006967EE">
        <w:rPr>
          <w:rFonts w:ascii="Arial" w:hAnsi="Arial" w:cs="Arial"/>
          <w:sz w:val="22"/>
          <w:lang w:eastAsia="en-GB"/>
        </w:rPr>
        <w:t>úvěrům</w:t>
      </w:r>
    </w:p>
    <w:p w:rsidR="00D55378" w:rsidRDefault="00D55378" w:rsidP="00D55378">
      <w:pPr>
        <w:spacing w:line="360" w:lineRule="auto"/>
        <w:rPr>
          <w:rFonts w:ascii="Arial" w:hAnsi="Arial" w:cs="Arial"/>
          <w:sz w:val="22"/>
          <w:lang w:eastAsia="en-GB"/>
        </w:rPr>
      </w:pPr>
    </w:p>
    <w:p w:rsidR="00D55378" w:rsidRPr="006967EE" w:rsidRDefault="00D55378" w:rsidP="00D55378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Pokud jde o podnikatelská rizika, největším z nich podle průzkumu bez ohledu na vyspělost ekonomiky zůstává </w:t>
      </w:r>
      <w:r w:rsidRPr="006967EE">
        <w:rPr>
          <w:rFonts w:ascii="Arial" w:hAnsi="Arial" w:cs="Arial"/>
          <w:sz w:val="22"/>
        </w:rPr>
        <w:t>regula</w:t>
      </w:r>
      <w:r>
        <w:rPr>
          <w:rFonts w:ascii="Arial" w:hAnsi="Arial" w:cs="Arial"/>
          <w:sz w:val="22"/>
        </w:rPr>
        <w:t>ce a dodržování předpisů. Společnosti v nejrychleji rostoucích zemích</w:t>
      </w:r>
      <w:r w:rsidRPr="006967EE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jako je Čína,</w:t>
      </w:r>
      <w:r w:rsidRPr="006967EE">
        <w:rPr>
          <w:rFonts w:ascii="Arial" w:hAnsi="Arial" w:cs="Arial"/>
          <w:sz w:val="22"/>
        </w:rPr>
        <w:t xml:space="preserve"> Indi</w:t>
      </w:r>
      <w:r>
        <w:rPr>
          <w:rFonts w:ascii="Arial" w:hAnsi="Arial" w:cs="Arial"/>
          <w:sz w:val="22"/>
        </w:rPr>
        <w:t>e či</w:t>
      </w:r>
      <w:r w:rsidRPr="006967EE">
        <w:rPr>
          <w:rFonts w:ascii="Arial" w:hAnsi="Arial" w:cs="Arial"/>
          <w:sz w:val="22"/>
        </w:rPr>
        <w:t xml:space="preserve"> Rus</w:t>
      </w:r>
      <w:r>
        <w:rPr>
          <w:rFonts w:ascii="Arial" w:hAnsi="Arial" w:cs="Arial"/>
          <w:sz w:val="22"/>
        </w:rPr>
        <w:t xml:space="preserve">ko, a na Středním východě a v severní Africe se ale domnívají, že vliv tohoto rizika do roku 2013 oslabí. Současně se </w:t>
      </w:r>
      <w:r w:rsidRPr="006967EE">
        <w:rPr>
          <w:rFonts w:ascii="Arial" w:hAnsi="Arial" w:cs="Arial"/>
          <w:sz w:val="22"/>
        </w:rPr>
        <w:t>59</w:t>
      </w:r>
      <w:r>
        <w:rPr>
          <w:rFonts w:ascii="Arial" w:hAnsi="Arial" w:cs="Arial"/>
          <w:sz w:val="22"/>
        </w:rPr>
        <w:t> </w:t>
      </w:r>
      <w:r w:rsidRPr="006967EE">
        <w:rPr>
          <w:rFonts w:ascii="Arial" w:hAnsi="Arial" w:cs="Arial"/>
          <w:sz w:val="22"/>
        </w:rPr>
        <w:t xml:space="preserve">% </w:t>
      </w:r>
      <w:r>
        <w:rPr>
          <w:rFonts w:ascii="Arial" w:hAnsi="Arial" w:cs="Arial"/>
          <w:sz w:val="22"/>
        </w:rPr>
        <w:t>oslovených</w:t>
      </w:r>
      <w:r w:rsidRPr="006967EE">
        <w:rPr>
          <w:rFonts w:ascii="Arial" w:hAnsi="Arial" w:cs="Arial"/>
          <w:sz w:val="22"/>
        </w:rPr>
        <w:t xml:space="preserve"> organiza</w:t>
      </w:r>
      <w:r>
        <w:rPr>
          <w:rFonts w:ascii="Arial" w:hAnsi="Arial" w:cs="Arial"/>
          <w:sz w:val="22"/>
        </w:rPr>
        <w:t xml:space="preserve">cí snaží v souvislosti s tímto rizikem posílit funkci řízení rizik. </w:t>
      </w:r>
    </w:p>
    <w:p w:rsidR="00D55378" w:rsidRPr="006967EE" w:rsidRDefault="00D55378" w:rsidP="00D55378">
      <w:pPr>
        <w:spacing w:line="360" w:lineRule="auto"/>
        <w:rPr>
          <w:rFonts w:ascii="Arial" w:hAnsi="Arial" w:cs="Arial"/>
          <w:sz w:val="22"/>
        </w:rPr>
      </w:pPr>
    </w:p>
    <w:p w:rsidR="00D55378" w:rsidRPr="006967EE" w:rsidRDefault="00D55378" w:rsidP="00D55378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Nadále se prohlubují rizika související s bojem o talenty</w:t>
      </w:r>
      <w:r w:rsidRPr="006967EE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eastAsia="en-GB"/>
        </w:rPr>
        <w:t xml:space="preserve">Řízení talentů se mezi riziky umístilo celkově na třetí příčce, </w:t>
      </w:r>
      <w:r w:rsidR="00715325">
        <w:rPr>
          <w:rFonts w:ascii="Arial" w:hAnsi="Arial" w:cs="Arial"/>
          <w:sz w:val="22"/>
          <w:lang w:eastAsia="en-GB"/>
        </w:rPr>
        <w:t>mezi čtyřmi top riziky</w:t>
      </w:r>
      <w:r>
        <w:rPr>
          <w:rFonts w:ascii="Arial" w:hAnsi="Arial" w:cs="Arial"/>
          <w:sz w:val="22"/>
          <w:lang w:eastAsia="en-GB"/>
        </w:rPr>
        <w:t xml:space="preserve"> </w:t>
      </w:r>
      <w:r w:rsidR="00715325">
        <w:rPr>
          <w:rFonts w:ascii="Arial" w:hAnsi="Arial" w:cs="Arial"/>
          <w:sz w:val="22"/>
          <w:lang w:eastAsia="en-GB"/>
        </w:rPr>
        <w:t>ho uvedli odborníci</w:t>
      </w:r>
      <w:r>
        <w:rPr>
          <w:rFonts w:ascii="Arial" w:hAnsi="Arial" w:cs="Arial"/>
          <w:sz w:val="22"/>
          <w:lang w:eastAsia="en-GB"/>
        </w:rPr>
        <w:t xml:space="preserve"> téměř </w:t>
      </w:r>
      <w:r w:rsidR="00715325">
        <w:rPr>
          <w:rFonts w:ascii="Arial" w:hAnsi="Arial" w:cs="Arial"/>
          <w:sz w:val="22"/>
          <w:lang w:eastAsia="en-GB"/>
        </w:rPr>
        <w:t xml:space="preserve">ze všech </w:t>
      </w:r>
      <w:r>
        <w:rPr>
          <w:rFonts w:ascii="Arial" w:hAnsi="Arial" w:cs="Arial"/>
          <w:sz w:val="22"/>
          <w:lang w:eastAsia="en-GB"/>
        </w:rPr>
        <w:t>odvětví ekonomiky</w:t>
      </w:r>
      <w:r w:rsidR="0086131D">
        <w:rPr>
          <w:rFonts w:ascii="Arial" w:hAnsi="Arial" w:cs="Arial"/>
          <w:sz w:val="22"/>
          <w:lang w:eastAsia="en-GB"/>
        </w:rPr>
        <w:t>.</w:t>
      </w:r>
      <w:r>
        <w:rPr>
          <w:rFonts w:ascii="Arial" w:hAnsi="Arial" w:cs="Arial"/>
          <w:sz w:val="22"/>
          <w:lang w:eastAsia="en-GB"/>
        </w:rPr>
        <w:t xml:space="preserve"> </w:t>
      </w:r>
      <w:r>
        <w:rPr>
          <w:rFonts w:ascii="Arial" w:hAnsi="Arial" w:cs="Arial"/>
          <w:sz w:val="22"/>
        </w:rPr>
        <w:t xml:space="preserve">Jeho důležitost by navíc měla do roku 2013 dále </w:t>
      </w:r>
      <w:r w:rsidR="003D2DBD">
        <w:rPr>
          <w:rFonts w:ascii="Arial" w:hAnsi="Arial" w:cs="Arial"/>
          <w:sz w:val="22"/>
        </w:rPr>
        <w:t>na</w:t>
      </w:r>
      <w:r>
        <w:rPr>
          <w:rFonts w:ascii="Arial" w:hAnsi="Arial" w:cs="Arial"/>
          <w:sz w:val="22"/>
        </w:rPr>
        <w:t>růst</w:t>
      </w:r>
      <w:r w:rsidR="003D2DBD">
        <w:rPr>
          <w:rFonts w:ascii="Arial" w:hAnsi="Arial" w:cs="Arial"/>
          <w:sz w:val="22"/>
        </w:rPr>
        <w:t>at</w:t>
      </w:r>
      <w:r w:rsidR="00645C46">
        <w:rPr>
          <w:rFonts w:ascii="Arial" w:hAnsi="Arial" w:cs="Arial"/>
          <w:sz w:val="22"/>
        </w:rPr>
        <w:t xml:space="preserve"> především v</w:t>
      </w:r>
      <w:r>
        <w:rPr>
          <w:rFonts w:ascii="Arial" w:hAnsi="Arial" w:cs="Arial"/>
          <w:sz w:val="22"/>
        </w:rPr>
        <w:t xml:space="preserve"> rozvíjejících se ekonomik</w:t>
      </w:r>
      <w:r w:rsidR="00645C46">
        <w:rPr>
          <w:rFonts w:ascii="Arial" w:hAnsi="Arial" w:cs="Arial"/>
          <w:sz w:val="22"/>
        </w:rPr>
        <w:t>ách</w:t>
      </w:r>
      <w:r w:rsidRPr="006967EE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Pokud jde o faktory, které se nejvíce podílejí na posilování tohoto rizika, respondenti stejným dílem uvádějí interní problémy, jako jsou nedostatky v procesech v oblasti lidských zdrojů, a externí tlaky, mimo jiné rostoucí konkurenční boj o talentované pracovníky.</w:t>
      </w:r>
    </w:p>
    <w:p w:rsidR="00D55378" w:rsidRPr="006967EE" w:rsidRDefault="00D55378" w:rsidP="00D55378">
      <w:pPr>
        <w:spacing w:line="360" w:lineRule="auto"/>
        <w:rPr>
          <w:rFonts w:ascii="Arial" w:hAnsi="Arial" w:cs="Arial"/>
          <w:sz w:val="22"/>
        </w:rPr>
      </w:pPr>
    </w:p>
    <w:p w:rsidR="00D55378" w:rsidRPr="006967EE" w:rsidRDefault="00D55378" w:rsidP="00D55378">
      <w:pPr>
        <w:spacing w:line="360" w:lineRule="auto"/>
        <w:rPr>
          <w:rFonts w:ascii="Arial" w:hAnsi="Arial" w:cs="Arial"/>
          <w:i/>
          <w:sz w:val="22"/>
        </w:rPr>
      </w:pPr>
      <w:r w:rsidRPr="00D55378">
        <w:rPr>
          <w:rFonts w:ascii="Arial" w:hAnsi="Arial" w:cs="Arial"/>
          <w:i/>
          <w:sz w:val="22"/>
        </w:rPr>
        <w:t xml:space="preserve">„Průzkum naznačuje, že mnohé podniky teď plně zaměstnává  přesnější vymezení </w:t>
      </w:r>
      <w:r w:rsidR="009B29F5">
        <w:rPr>
          <w:rFonts w:ascii="Arial" w:hAnsi="Arial" w:cs="Arial"/>
          <w:i/>
          <w:sz w:val="22"/>
        </w:rPr>
        <w:t>jejich orientace na určité trhy a</w:t>
      </w:r>
      <w:r w:rsidRPr="00D55378">
        <w:rPr>
          <w:rFonts w:ascii="Arial" w:hAnsi="Arial" w:cs="Arial"/>
          <w:i/>
          <w:sz w:val="22"/>
        </w:rPr>
        <w:t xml:space="preserve"> zavádění podnikové infrastruktury</w:t>
      </w:r>
      <w:r w:rsidR="00645C46">
        <w:rPr>
          <w:rFonts w:ascii="Arial" w:hAnsi="Arial" w:cs="Arial"/>
          <w:i/>
          <w:sz w:val="22"/>
        </w:rPr>
        <w:t xml:space="preserve"> zaměřené na </w:t>
      </w:r>
      <w:r w:rsidRPr="00D55378">
        <w:rPr>
          <w:rFonts w:ascii="Arial" w:hAnsi="Arial" w:cs="Arial"/>
          <w:i/>
          <w:sz w:val="22"/>
        </w:rPr>
        <w:t xml:space="preserve"> konkurenceschopnost a budoucí růst</w:t>
      </w:r>
      <w:r w:rsidR="00314737">
        <w:rPr>
          <w:rFonts w:ascii="Arial" w:hAnsi="Arial" w:cs="Arial"/>
          <w:i/>
          <w:sz w:val="22"/>
        </w:rPr>
        <w:t>,</w:t>
      </w:r>
      <w:r w:rsidRPr="00D55378">
        <w:rPr>
          <w:rFonts w:ascii="Arial" w:hAnsi="Arial" w:cs="Arial"/>
          <w:i/>
          <w:sz w:val="22"/>
        </w:rPr>
        <w:t>“</w:t>
      </w:r>
      <w:r>
        <w:rPr>
          <w:rFonts w:ascii="Arial" w:hAnsi="Arial" w:cs="Arial"/>
          <w:sz w:val="22"/>
        </w:rPr>
        <w:t xml:space="preserve"> vysvětluje Jan Fanta.</w:t>
      </w:r>
    </w:p>
    <w:p w:rsidR="00A10CD6" w:rsidRDefault="00A10CD6" w:rsidP="00A10CD6">
      <w:pPr>
        <w:spacing w:line="360" w:lineRule="auto"/>
        <w:rPr>
          <w:rFonts w:ascii="Arial" w:hAnsi="Arial" w:cs="Arial"/>
          <w:sz w:val="22"/>
        </w:rPr>
      </w:pPr>
    </w:p>
    <w:p w:rsidR="00D55378" w:rsidRPr="00A10CD6" w:rsidRDefault="00D55378" w:rsidP="00D55378">
      <w:pPr>
        <w:spacing w:line="360" w:lineRule="auto"/>
        <w:rPr>
          <w:rFonts w:ascii="Arial" w:hAnsi="Arial" w:cs="Arial"/>
          <w:b/>
          <w:sz w:val="22"/>
          <w:lang w:eastAsia="en-GB"/>
        </w:rPr>
      </w:pPr>
      <w:r w:rsidRPr="00A10CD6">
        <w:rPr>
          <w:rFonts w:ascii="Arial" w:hAnsi="Arial" w:cs="Arial"/>
          <w:b/>
          <w:sz w:val="22"/>
          <w:lang w:eastAsia="en-GB"/>
        </w:rPr>
        <w:t xml:space="preserve">Žebříček </w:t>
      </w:r>
      <w:r w:rsidR="00727FAF">
        <w:rPr>
          <w:rFonts w:ascii="Arial" w:hAnsi="Arial" w:cs="Arial"/>
          <w:b/>
          <w:sz w:val="22"/>
          <w:lang w:eastAsia="en-GB"/>
        </w:rPr>
        <w:t xml:space="preserve">Top 10 </w:t>
      </w:r>
      <w:r w:rsidRPr="00A10CD6">
        <w:rPr>
          <w:rFonts w:ascii="Arial" w:hAnsi="Arial" w:cs="Arial"/>
          <w:b/>
          <w:sz w:val="22"/>
          <w:lang w:eastAsia="en-GB"/>
        </w:rPr>
        <w:t xml:space="preserve">největších podnikatelských příležitostí </w:t>
      </w:r>
    </w:p>
    <w:p w:rsidR="00D55378" w:rsidRPr="006967EE" w:rsidRDefault="00D55378" w:rsidP="00D55378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Důslednější realizace </w:t>
      </w:r>
      <w:r w:rsidRPr="006967EE">
        <w:rPr>
          <w:rFonts w:ascii="Arial" w:hAnsi="Arial" w:cs="Arial"/>
          <w:sz w:val="22"/>
          <w:lang w:eastAsia="en-GB"/>
        </w:rPr>
        <w:t>strateg</w:t>
      </w:r>
      <w:r>
        <w:rPr>
          <w:rFonts w:ascii="Arial" w:hAnsi="Arial" w:cs="Arial"/>
          <w:sz w:val="22"/>
          <w:lang w:eastAsia="en-GB"/>
        </w:rPr>
        <w:t>ie v rámci celé organizace</w:t>
      </w:r>
    </w:p>
    <w:p w:rsidR="00D55378" w:rsidRPr="006967EE" w:rsidRDefault="00D55378" w:rsidP="00D55378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lang w:eastAsia="en-GB"/>
        </w:rPr>
      </w:pPr>
      <w:r w:rsidRPr="006967EE">
        <w:rPr>
          <w:rFonts w:ascii="Arial" w:hAnsi="Arial" w:cs="Arial"/>
          <w:sz w:val="22"/>
          <w:lang w:eastAsia="en-GB"/>
        </w:rPr>
        <w:t>Investi</w:t>
      </w:r>
      <w:r>
        <w:rPr>
          <w:rFonts w:ascii="Arial" w:hAnsi="Arial" w:cs="Arial"/>
          <w:sz w:val="22"/>
          <w:lang w:eastAsia="en-GB"/>
        </w:rPr>
        <w:t xml:space="preserve">ce do podnikových procesů, nástrojů a vzdělávání zaměstnanců s cílem zvýšit produktivitu </w:t>
      </w:r>
    </w:p>
    <w:p w:rsidR="00D55378" w:rsidRPr="006967EE" w:rsidRDefault="00D55378" w:rsidP="00D55378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lang w:eastAsia="en-GB"/>
        </w:rPr>
      </w:pPr>
      <w:r w:rsidRPr="006967EE">
        <w:rPr>
          <w:rFonts w:ascii="Arial" w:hAnsi="Arial" w:cs="Arial"/>
          <w:sz w:val="22"/>
          <w:lang w:eastAsia="en-GB"/>
        </w:rPr>
        <w:t>Investi</w:t>
      </w:r>
      <w:r>
        <w:rPr>
          <w:rFonts w:ascii="Arial" w:hAnsi="Arial" w:cs="Arial"/>
          <w:sz w:val="22"/>
          <w:lang w:eastAsia="en-GB"/>
        </w:rPr>
        <w:t xml:space="preserve">ce do informačních technologií </w:t>
      </w:r>
    </w:p>
    <w:p w:rsidR="00D55378" w:rsidRPr="006967EE" w:rsidRDefault="00D55378" w:rsidP="00D55378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lang w:eastAsia="en-GB"/>
        </w:rPr>
      </w:pPr>
      <w:r w:rsidRPr="006967EE">
        <w:rPr>
          <w:rFonts w:ascii="Arial" w:hAnsi="Arial" w:cs="Arial"/>
          <w:sz w:val="22"/>
          <w:lang w:eastAsia="en-GB"/>
        </w:rPr>
        <w:t>In</w:t>
      </w:r>
      <w:r>
        <w:rPr>
          <w:rFonts w:ascii="Arial" w:hAnsi="Arial" w:cs="Arial"/>
          <w:sz w:val="22"/>
          <w:lang w:eastAsia="en-GB"/>
        </w:rPr>
        <w:t>ovace produktů, služeb a provozních aspektů</w:t>
      </w:r>
    </w:p>
    <w:p w:rsidR="00D55378" w:rsidRPr="006967EE" w:rsidRDefault="00D55378" w:rsidP="00D55378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Růst poptávky na rozvíjejících se trzích </w:t>
      </w:r>
    </w:p>
    <w:p w:rsidR="00D55378" w:rsidRPr="006967EE" w:rsidRDefault="00D55378" w:rsidP="00D55378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lang w:eastAsia="en-GB"/>
        </w:rPr>
      </w:pPr>
      <w:r w:rsidRPr="006967EE">
        <w:rPr>
          <w:rFonts w:ascii="Arial" w:hAnsi="Arial" w:cs="Arial"/>
          <w:sz w:val="22"/>
          <w:lang w:eastAsia="en-GB"/>
        </w:rPr>
        <w:t>Investi</w:t>
      </w:r>
      <w:r>
        <w:rPr>
          <w:rFonts w:ascii="Arial" w:hAnsi="Arial" w:cs="Arial"/>
          <w:sz w:val="22"/>
          <w:lang w:eastAsia="en-GB"/>
        </w:rPr>
        <w:t>ce do „cleantech“  technologií</w:t>
      </w:r>
    </w:p>
    <w:p w:rsidR="00D55378" w:rsidRPr="006967EE" w:rsidRDefault="00D55378" w:rsidP="00D55378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Udržování vztahů s investory</w:t>
      </w:r>
    </w:p>
    <w:p w:rsidR="00D55378" w:rsidRPr="006967EE" w:rsidRDefault="00D55378" w:rsidP="00D55378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lang w:eastAsia="en-GB"/>
        </w:rPr>
      </w:pPr>
      <w:r w:rsidRPr="006967EE">
        <w:rPr>
          <w:rFonts w:ascii="Arial" w:hAnsi="Arial" w:cs="Arial"/>
          <w:sz w:val="22"/>
          <w:lang w:eastAsia="en-GB"/>
        </w:rPr>
        <w:t>N</w:t>
      </w:r>
      <w:r>
        <w:rPr>
          <w:rFonts w:ascii="Arial" w:hAnsi="Arial" w:cs="Arial"/>
          <w:sz w:val="22"/>
          <w:lang w:eastAsia="en-GB"/>
        </w:rPr>
        <w:t xml:space="preserve">ové marketingové kanály – sociální sítě, web 2.0, mobilní marketing, vyhledávače atd. </w:t>
      </w:r>
    </w:p>
    <w:p w:rsidR="00D55378" w:rsidRPr="006967EE" w:rsidRDefault="00D55378" w:rsidP="00D55378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Fúze a akvizice</w:t>
      </w:r>
    </w:p>
    <w:p w:rsidR="00D55378" w:rsidRPr="006967EE" w:rsidRDefault="00D55378" w:rsidP="00D55378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Partnerství veřejného a soukromého sektoru (PPP)</w:t>
      </w:r>
    </w:p>
    <w:p w:rsidR="00D55378" w:rsidRPr="006967EE" w:rsidRDefault="00D55378" w:rsidP="00A10CD6">
      <w:pPr>
        <w:spacing w:line="360" w:lineRule="auto"/>
        <w:rPr>
          <w:rFonts w:ascii="Arial" w:hAnsi="Arial" w:cs="Arial"/>
          <w:sz w:val="22"/>
        </w:rPr>
      </w:pPr>
    </w:p>
    <w:p w:rsidR="00A10CD6" w:rsidRPr="006967EE" w:rsidRDefault="00A10CD6" w:rsidP="00A10CD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špičce žebříčku podnikatelských příležitostí jsou investice do oblastí jako podnikové procesy, nástroje</w:t>
      </w:r>
      <w:r w:rsidR="009E38A0">
        <w:rPr>
          <w:rFonts w:ascii="Arial" w:hAnsi="Arial" w:cs="Arial"/>
          <w:sz w:val="22"/>
        </w:rPr>
        <w:t xml:space="preserve"> řízení</w:t>
      </w:r>
      <w:r>
        <w:rPr>
          <w:rFonts w:ascii="Arial" w:hAnsi="Arial" w:cs="Arial"/>
          <w:sz w:val="22"/>
        </w:rPr>
        <w:t xml:space="preserve">, vzdělávání zaměstnanců a informační technologie a dále </w:t>
      </w:r>
      <w:r w:rsidRPr="006967EE">
        <w:rPr>
          <w:rFonts w:ascii="Arial" w:hAnsi="Arial" w:cs="Arial"/>
          <w:sz w:val="22"/>
        </w:rPr>
        <w:t>inova</w:t>
      </w:r>
      <w:r>
        <w:rPr>
          <w:rFonts w:ascii="Arial" w:hAnsi="Arial" w:cs="Arial"/>
          <w:sz w:val="22"/>
        </w:rPr>
        <w:t>ce a realizace podnikatelské strategie. Právě důslednější</w:t>
      </w:r>
      <w:r>
        <w:rPr>
          <w:rFonts w:ascii="Arial" w:hAnsi="Arial" w:cs="Arial"/>
          <w:sz w:val="22"/>
          <w:lang w:eastAsia="en-GB"/>
        </w:rPr>
        <w:t xml:space="preserve"> realizace </w:t>
      </w:r>
      <w:r w:rsidRPr="006967EE">
        <w:rPr>
          <w:rFonts w:ascii="Arial" w:hAnsi="Arial" w:cs="Arial"/>
          <w:sz w:val="22"/>
          <w:lang w:eastAsia="en-GB"/>
        </w:rPr>
        <w:t>strateg</w:t>
      </w:r>
      <w:r>
        <w:rPr>
          <w:rFonts w:ascii="Arial" w:hAnsi="Arial" w:cs="Arial"/>
          <w:sz w:val="22"/>
          <w:lang w:eastAsia="en-GB"/>
        </w:rPr>
        <w:t>ie v rámci celé organizace</w:t>
      </w:r>
      <w:r w:rsidRPr="006967E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se umístila mezi podnikatelskými příležitostmi na prvním místě. Podle průzkumu se společnosti snaží především lépe informovat o své podnikatelské vizi, cílech a strategii a zapojit do procesu plánování strategie všechna oddělení a funkce včetně </w:t>
      </w:r>
      <w:r w:rsidR="00645C46">
        <w:rPr>
          <w:rFonts w:ascii="Arial" w:hAnsi="Arial" w:cs="Arial"/>
          <w:sz w:val="22"/>
        </w:rPr>
        <w:t xml:space="preserve">těch, které se zabývají </w:t>
      </w:r>
      <w:r>
        <w:rPr>
          <w:rFonts w:ascii="Arial" w:hAnsi="Arial" w:cs="Arial"/>
          <w:sz w:val="22"/>
        </w:rPr>
        <w:t>tvorb</w:t>
      </w:r>
      <w:r w:rsidR="00645C46">
        <w:rPr>
          <w:rFonts w:ascii="Arial" w:hAnsi="Arial" w:cs="Arial"/>
          <w:sz w:val="22"/>
        </w:rPr>
        <w:t>ou</w:t>
      </w:r>
      <w:r>
        <w:rPr>
          <w:rFonts w:ascii="Arial" w:hAnsi="Arial" w:cs="Arial"/>
          <w:sz w:val="22"/>
        </w:rPr>
        <w:t xml:space="preserve"> rozpočtu.</w:t>
      </w:r>
    </w:p>
    <w:p w:rsidR="00A10CD6" w:rsidRPr="006967EE" w:rsidRDefault="00A10CD6" w:rsidP="00A10CD6">
      <w:pPr>
        <w:spacing w:line="360" w:lineRule="auto"/>
        <w:rPr>
          <w:rFonts w:ascii="Arial" w:hAnsi="Arial" w:cs="Arial"/>
          <w:sz w:val="22"/>
        </w:rPr>
      </w:pPr>
    </w:p>
    <w:p w:rsidR="00A10CD6" w:rsidRPr="006967EE" w:rsidRDefault="00715325" w:rsidP="00A10CD6">
      <w:pPr>
        <w:spacing w:line="360" w:lineRule="auto"/>
        <w:rPr>
          <w:rFonts w:ascii="Arial" w:hAnsi="Arial" w:cs="Arial"/>
          <w:sz w:val="22"/>
        </w:rPr>
      </w:pPr>
      <w:r w:rsidRPr="00715325">
        <w:rPr>
          <w:rFonts w:ascii="Arial" w:hAnsi="Arial" w:cs="Arial"/>
          <w:i/>
          <w:sz w:val="22"/>
        </w:rPr>
        <w:t>„</w:t>
      </w:r>
      <w:r w:rsidR="00A10CD6" w:rsidRPr="00715325">
        <w:rPr>
          <w:rFonts w:ascii="Arial" w:hAnsi="Arial" w:cs="Arial"/>
          <w:i/>
          <w:sz w:val="22"/>
        </w:rPr>
        <w:t>Zatímco dřív</w:t>
      </w:r>
      <w:r w:rsidR="00645C46">
        <w:rPr>
          <w:rFonts w:ascii="Arial" w:hAnsi="Arial" w:cs="Arial"/>
          <w:i/>
          <w:sz w:val="22"/>
        </w:rPr>
        <w:t>e</w:t>
      </w:r>
      <w:r w:rsidR="00A10CD6" w:rsidRPr="00715325">
        <w:rPr>
          <w:rFonts w:ascii="Arial" w:hAnsi="Arial" w:cs="Arial"/>
          <w:i/>
          <w:sz w:val="22"/>
        </w:rPr>
        <w:t xml:space="preserve"> bylo běžné, že se </w:t>
      </w:r>
      <w:r w:rsidR="00645C46">
        <w:rPr>
          <w:rFonts w:ascii="Arial" w:hAnsi="Arial" w:cs="Arial"/>
          <w:i/>
          <w:sz w:val="22"/>
        </w:rPr>
        <w:t xml:space="preserve">společnosti </w:t>
      </w:r>
      <w:r w:rsidR="00A10CD6" w:rsidRPr="00715325">
        <w:rPr>
          <w:rFonts w:ascii="Arial" w:hAnsi="Arial" w:cs="Arial"/>
          <w:i/>
          <w:sz w:val="22"/>
        </w:rPr>
        <w:t>snažily podnikatelské příležitosti realizovat v</w:t>
      </w:r>
      <w:r w:rsidR="00645C46">
        <w:rPr>
          <w:rFonts w:ascii="Arial" w:hAnsi="Arial" w:cs="Arial"/>
          <w:i/>
          <w:sz w:val="22"/>
        </w:rPr>
        <w:t xml:space="preserve"> jejich </w:t>
      </w:r>
      <w:r w:rsidR="00A10CD6" w:rsidRPr="00715325">
        <w:rPr>
          <w:rFonts w:ascii="Arial" w:hAnsi="Arial" w:cs="Arial"/>
          <w:i/>
          <w:sz w:val="22"/>
        </w:rPr>
        <w:t>ranějším stádiu, dnes jako by se spíše řídily heslem „dvakrát měř a jednou řež“</w:t>
      </w:r>
      <w:r w:rsidR="00645C46">
        <w:rPr>
          <w:rFonts w:ascii="Arial" w:hAnsi="Arial" w:cs="Arial"/>
          <w:i/>
          <w:sz w:val="22"/>
        </w:rPr>
        <w:t xml:space="preserve"> a</w:t>
      </w:r>
      <w:r w:rsidR="00A10CD6" w:rsidRPr="00715325">
        <w:rPr>
          <w:rFonts w:ascii="Arial" w:hAnsi="Arial" w:cs="Arial"/>
          <w:i/>
          <w:sz w:val="22"/>
        </w:rPr>
        <w:t xml:space="preserve"> chtějí mít jistotu, že mají inovativní i další potenciál k tomu, aby se na zvoleném t</w:t>
      </w:r>
      <w:r w:rsidRPr="00715325">
        <w:rPr>
          <w:rFonts w:ascii="Arial" w:hAnsi="Arial" w:cs="Arial"/>
          <w:i/>
          <w:sz w:val="22"/>
        </w:rPr>
        <w:t>rhu skutečně dokázaly etablovat,“</w:t>
      </w:r>
      <w:r>
        <w:rPr>
          <w:rFonts w:ascii="Arial" w:hAnsi="Arial" w:cs="Arial"/>
          <w:sz w:val="22"/>
        </w:rPr>
        <w:t xml:space="preserve"> říká Jan Fanta a dodává: </w:t>
      </w:r>
      <w:r w:rsidRPr="00715325">
        <w:rPr>
          <w:rFonts w:ascii="Arial" w:hAnsi="Arial" w:cs="Arial"/>
          <w:i/>
          <w:sz w:val="22"/>
        </w:rPr>
        <w:t>„</w:t>
      </w:r>
      <w:r w:rsidR="00A10CD6" w:rsidRPr="00715325">
        <w:rPr>
          <w:rFonts w:ascii="Arial" w:hAnsi="Arial" w:cs="Arial"/>
          <w:i/>
          <w:sz w:val="22"/>
        </w:rPr>
        <w:t>V tomto ohledu jsou výsledky průzkumu do značné míry shodné bez ohledu na odvětví ekonomiky či stát, ve kterém daná společnost působí. Všeobecně se klade důraz na provozní flexibilitu a konkurenceschopnost v oblasti nákladů. Platí to jak pro rozvinuté</w:t>
      </w:r>
      <w:r w:rsidR="00A36EDF">
        <w:rPr>
          <w:rFonts w:ascii="Arial" w:hAnsi="Arial" w:cs="Arial"/>
          <w:i/>
          <w:sz w:val="22"/>
        </w:rPr>
        <w:t>, tak pro rozvíjející se trhy. N</w:t>
      </w:r>
      <w:r w:rsidR="00A10CD6" w:rsidRPr="00715325">
        <w:rPr>
          <w:rFonts w:ascii="Arial" w:hAnsi="Arial" w:cs="Arial"/>
          <w:i/>
          <w:sz w:val="22"/>
        </w:rPr>
        <w:t>icméně existují určité signály, že společnosti působící v rozvíjejících se ekonomikách mají potřebu zavádět vyspělejší provozní modely, struktury, procesy a podnikové kontroly a citlivěji reagují na hrozbu konkurence.</w:t>
      </w:r>
      <w:r w:rsidRPr="00715325">
        <w:rPr>
          <w:rFonts w:ascii="Arial" w:hAnsi="Arial" w:cs="Arial"/>
          <w:i/>
          <w:sz w:val="22"/>
        </w:rPr>
        <w:t>“</w:t>
      </w:r>
    </w:p>
    <w:p w:rsidR="00A10CD6" w:rsidRPr="006967EE" w:rsidRDefault="00A10CD6" w:rsidP="00A10CD6">
      <w:pPr>
        <w:spacing w:line="360" w:lineRule="auto"/>
        <w:rPr>
          <w:rFonts w:ascii="Arial" w:hAnsi="Arial" w:cs="Arial"/>
          <w:sz w:val="22"/>
        </w:rPr>
      </w:pPr>
    </w:p>
    <w:p w:rsidR="00A10CD6" w:rsidRPr="006967EE" w:rsidRDefault="00A10CD6" w:rsidP="00A10CD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Růst poptávky na rozvíjejících se trzích se mezi podnikatelskými příležitostmi překvapivě umístil až</w:t>
      </w:r>
      <w:r w:rsidRPr="006967E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na páté příčce</w:t>
      </w:r>
      <w:r w:rsidRPr="006967EE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Pětina oslovených společností uvedla, že po předchozích nezdarech se už na Asii nezaměřují v takové míře a hodlají se víc</w:t>
      </w:r>
      <w:r w:rsidR="00645C46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orientovat na domácí trh. </w:t>
      </w:r>
      <w:r w:rsidR="00A507B4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oučasně </w:t>
      </w:r>
      <w:r w:rsidR="00A507B4">
        <w:rPr>
          <w:rFonts w:ascii="Arial" w:hAnsi="Arial" w:cs="Arial"/>
          <w:sz w:val="22"/>
        </w:rPr>
        <w:t xml:space="preserve">ale </w:t>
      </w:r>
      <w:r>
        <w:rPr>
          <w:rFonts w:ascii="Arial" w:hAnsi="Arial" w:cs="Arial"/>
          <w:sz w:val="22"/>
        </w:rPr>
        <w:t xml:space="preserve">respondenti předpokládají, že </w:t>
      </w:r>
      <w:r w:rsidR="00645C46">
        <w:rPr>
          <w:rFonts w:ascii="Arial" w:hAnsi="Arial" w:cs="Arial"/>
          <w:sz w:val="22"/>
        </w:rPr>
        <w:t xml:space="preserve">Asie jako </w:t>
      </w:r>
      <w:r w:rsidR="0028448F">
        <w:rPr>
          <w:rFonts w:ascii="Arial" w:hAnsi="Arial" w:cs="Arial"/>
          <w:sz w:val="22"/>
        </w:rPr>
        <w:t>podnikatelsk</w:t>
      </w:r>
      <w:r w:rsidR="0028448F">
        <w:rPr>
          <w:rFonts w:ascii="Arial" w:hAnsi="Arial" w:cs="Arial"/>
          <w:sz w:val="22"/>
        </w:rPr>
        <w:t>á</w:t>
      </w:r>
      <w:r w:rsidR="0028448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příležitost do roku </w:t>
      </w:r>
      <w:r w:rsidRPr="006967EE">
        <w:rPr>
          <w:rFonts w:ascii="Arial" w:hAnsi="Arial" w:cs="Arial"/>
          <w:sz w:val="22"/>
        </w:rPr>
        <w:t>2013</w:t>
      </w:r>
      <w:r>
        <w:rPr>
          <w:rFonts w:ascii="Arial" w:hAnsi="Arial" w:cs="Arial"/>
          <w:sz w:val="22"/>
        </w:rPr>
        <w:t xml:space="preserve"> </w:t>
      </w:r>
      <w:r w:rsidR="006379E0">
        <w:rPr>
          <w:rFonts w:ascii="Arial" w:hAnsi="Arial" w:cs="Arial"/>
          <w:sz w:val="22"/>
        </w:rPr>
        <w:t>po</w:t>
      </w:r>
      <w:r>
        <w:rPr>
          <w:rFonts w:ascii="Arial" w:hAnsi="Arial" w:cs="Arial"/>
          <w:sz w:val="22"/>
        </w:rPr>
        <w:t>roste</w:t>
      </w:r>
      <w:r w:rsidRPr="006967EE">
        <w:rPr>
          <w:rFonts w:ascii="Arial" w:hAnsi="Arial" w:cs="Arial"/>
          <w:sz w:val="22"/>
        </w:rPr>
        <w:t>.</w:t>
      </w:r>
    </w:p>
    <w:p w:rsidR="00A10CD6" w:rsidRPr="006967EE" w:rsidRDefault="00A10CD6" w:rsidP="00A10CD6">
      <w:pPr>
        <w:spacing w:line="360" w:lineRule="auto"/>
        <w:rPr>
          <w:rFonts w:ascii="Arial" w:hAnsi="Arial" w:cs="Arial"/>
          <w:sz w:val="22"/>
        </w:rPr>
      </w:pPr>
    </w:p>
    <w:p w:rsidR="00A10CD6" w:rsidRPr="00392225" w:rsidRDefault="00A10CD6" w:rsidP="00392225">
      <w:pPr>
        <w:pStyle w:val="EYBodytextwithparaspace"/>
        <w:spacing w:after="0" w:line="240" w:lineRule="auto"/>
        <w:ind w:right="-85"/>
        <w:rPr>
          <w:rFonts w:cs="Arial"/>
          <w:b/>
          <w:sz w:val="18"/>
          <w:szCs w:val="18"/>
          <w:lang w:val="cs-CZ"/>
        </w:rPr>
      </w:pPr>
      <w:r w:rsidRPr="00392225">
        <w:rPr>
          <w:rFonts w:cs="Arial"/>
          <w:b/>
          <w:sz w:val="18"/>
          <w:szCs w:val="18"/>
          <w:lang w:val="cs-CZ"/>
        </w:rPr>
        <w:t>Metodika průzkumu:</w:t>
      </w:r>
    </w:p>
    <w:p w:rsidR="00A10CD6" w:rsidRPr="00392225" w:rsidRDefault="00A10CD6" w:rsidP="00392225">
      <w:pPr>
        <w:ind w:right="-85"/>
        <w:rPr>
          <w:rFonts w:ascii="Arial" w:hAnsi="Arial" w:cs="Arial"/>
          <w:sz w:val="18"/>
          <w:szCs w:val="18"/>
        </w:rPr>
      </w:pPr>
      <w:r w:rsidRPr="00392225">
        <w:rPr>
          <w:rFonts w:ascii="Arial" w:hAnsi="Arial" w:cs="Arial"/>
          <w:sz w:val="18"/>
          <w:szCs w:val="18"/>
        </w:rPr>
        <w:t xml:space="preserve">První fázi průzkumu provedla poradenská firma Oxford </w:t>
      </w:r>
      <w:proofErr w:type="spellStart"/>
      <w:r w:rsidRPr="00392225">
        <w:rPr>
          <w:rFonts w:ascii="Arial" w:hAnsi="Arial" w:cs="Arial"/>
          <w:sz w:val="18"/>
          <w:szCs w:val="18"/>
        </w:rPr>
        <w:t>Analytica</w:t>
      </w:r>
      <w:proofErr w:type="spellEnd"/>
      <w:r w:rsidRPr="00392225">
        <w:rPr>
          <w:rFonts w:ascii="Arial" w:hAnsi="Arial" w:cs="Arial"/>
          <w:sz w:val="18"/>
          <w:szCs w:val="18"/>
        </w:rPr>
        <w:t xml:space="preserve">, která požádala více než 75 vrcholových manažerů a analytiků zastupujících sedm ekonomických odvětví, aby sestavili žebříček deseti největších podnikatelských příležitostí </w:t>
      </w:r>
      <w:r w:rsidR="008832BA">
        <w:rPr>
          <w:rFonts w:ascii="Arial" w:hAnsi="Arial" w:cs="Arial"/>
          <w:sz w:val="18"/>
          <w:szCs w:val="18"/>
        </w:rPr>
        <w:br/>
      </w:r>
      <w:r w:rsidRPr="00392225">
        <w:rPr>
          <w:rFonts w:ascii="Arial" w:hAnsi="Arial" w:cs="Arial"/>
          <w:sz w:val="18"/>
          <w:szCs w:val="18"/>
        </w:rPr>
        <w:t xml:space="preserve">a deseti největších podnikatelských rizik, a to aktuální a </w:t>
      </w:r>
      <w:r w:rsidR="00A36EDF">
        <w:rPr>
          <w:rFonts w:ascii="Arial" w:hAnsi="Arial" w:cs="Arial"/>
          <w:sz w:val="18"/>
          <w:szCs w:val="18"/>
        </w:rPr>
        <w:t xml:space="preserve">dále </w:t>
      </w:r>
      <w:r w:rsidRPr="00392225">
        <w:rPr>
          <w:rFonts w:ascii="Arial" w:hAnsi="Arial" w:cs="Arial"/>
          <w:sz w:val="18"/>
          <w:szCs w:val="18"/>
        </w:rPr>
        <w:t>pro rok 2013. Mezi respondenty byli manažeři zodpovědní za plánování strategie a řízení rizik, členové statutárních, ředitelé podnikových divizí, vysokoškolští pedagogové, nezávislí konzultanti i odborníci Ernst &amp; Young.</w:t>
      </w:r>
    </w:p>
    <w:p w:rsidR="00A10CD6" w:rsidRPr="00392225" w:rsidRDefault="00A10CD6" w:rsidP="00392225">
      <w:pPr>
        <w:ind w:right="-85"/>
        <w:rPr>
          <w:rFonts w:ascii="Arial" w:hAnsi="Arial" w:cs="Arial"/>
          <w:sz w:val="18"/>
          <w:szCs w:val="18"/>
        </w:rPr>
      </w:pPr>
      <w:r w:rsidRPr="00392225">
        <w:rPr>
          <w:rFonts w:ascii="Arial" w:hAnsi="Arial" w:cs="Arial"/>
          <w:sz w:val="18"/>
          <w:szCs w:val="18"/>
        </w:rPr>
        <w:t xml:space="preserve"> </w:t>
      </w:r>
    </w:p>
    <w:p w:rsidR="00A10CD6" w:rsidRPr="00392225" w:rsidRDefault="00A10CD6" w:rsidP="00392225">
      <w:pPr>
        <w:ind w:right="-85"/>
        <w:rPr>
          <w:rFonts w:ascii="Arial" w:hAnsi="Arial" w:cs="Arial"/>
          <w:sz w:val="18"/>
          <w:szCs w:val="18"/>
        </w:rPr>
      </w:pPr>
      <w:r w:rsidRPr="00392225">
        <w:rPr>
          <w:rFonts w:ascii="Arial" w:hAnsi="Arial" w:cs="Arial"/>
          <w:sz w:val="18"/>
          <w:szCs w:val="18"/>
        </w:rPr>
        <w:t>Ve druhé fázi realizoval nezávislý in</w:t>
      </w:r>
      <w:r w:rsidR="006B2A8F">
        <w:rPr>
          <w:rFonts w:ascii="Arial" w:hAnsi="Arial" w:cs="Arial"/>
          <w:sz w:val="18"/>
          <w:szCs w:val="18"/>
        </w:rPr>
        <w:t>s</w:t>
      </w:r>
      <w:r w:rsidRPr="00392225">
        <w:rPr>
          <w:rFonts w:ascii="Arial" w:hAnsi="Arial" w:cs="Arial"/>
          <w:sz w:val="18"/>
          <w:szCs w:val="18"/>
        </w:rPr>
        <w:t xml:space="preserve">titut Oppermann průzkum na rozsáhlém vzorku obchodních společností a státních orgánů v 15 zemích. Průzkum se zaměřil na pořadí rizik a příležitostí, na prognózy vývoje jejich důležitosti do roku 2013 </w:t>
      </w:r>
      <w:r w:rsidR="008832BA">
        <w:rPr>
          <w:rFonts w:ascii="Arial" w:hAnsi="Arial" w:cs="Arial"/>
          <w:sz w:val="18"/>
          <w:szCs w:val="18"/>
        </w:rPr>
        <w:br/>
      </w:r>
      <w:r w:rsidRPr="00392225">
        <w:rPr>
          <w:rFonts w:ascii="Arial" w:hAnsi="Arial" w:cs="Arial"/>
          <w:sz w:val="18"/>
          <w:szCs w:val="18"/>
        </w:rPr>
        <w:t>a na to, jak přední společnosti a organizace ze sedmi sektorů zařazených do průzkumu na tato rizika i příležitosti reagují.</w:t>
      </w:r>
    </w:p>
    <w:p w:rsidR="00A10CD6" w:rsidRPr="00392225" w:rsidRDefault="00A10CD6" w:rsidP="00392225">
      <w:pPr>
        <w:ind w:right="-85"/>
        <w:rPr>
          <w:rFonts w:ascii="Arial" w:hAnsi="Arial" w:cs="Arial"/>
          <w:sz w:val="18"/>
          <w:szCs w:val="18"/>
        </w:rPr>
      </w:pPr>
    </w:p>
    <w:p w:rsidR="00A10CD6" w:rsidRPr="00392225" w:rsidRDefault="00A10CD6" w:rsidP="00392225">
      <w:pPr>
        <w:ind w:right="-85"/>
        <w:rPr>
          <w:rFonts w:ascii="Arial" w:hAnsi="Arial" w:cs="Arial"/>
          <w:sz w:val="18"/>
          <w:szCs w:val="18"/>
        </w:rPr>
      </w:pPr>
      <w:r w:rsidRPr="00392225">
        <w:rPr>
          <w:rFonts w:ascii="Arial" w:hAnsi="Arial" w:cs="Arial"/>
          <w:sz w:val="18"/>
          <w:szCs w:val="18"/>
        </w:rPr>
        <w:t xml:space="preserve">Druhé fáze průzkumu se zúčastnilo více než 750 vrcholových manažerů z celého světa, včetně generálních, finančních </w:t>
      </w:r>
      <w:r w:rsidR="008832BA">
        <w:rPr>
          <w:rFonts w:ascii="Arial" w:hAnsi="Arial" w:cs="Arial"/>
          <w:sz w:val="18"/>
          <w:szCs w:val="18"/>
        </w:rPr>
        <w:br/>
      </w:r>
      <w:r w:rsidRPr="00392225">
        <w:rPr>
          <w:rFonts w:ascii="Arial" w:hAnsi="Arial" w:cs="Arial"/>
          <w:sz w:val="18"/>
          <w:szCs w:val="18"/>
        </w:rPr>
        <w:t xml:space="preserve">a provozních ředitelů, manažerů zodpovědných za podnikatelský rozvoj, strategii či řízení rizik a vedoucích podnikových divizí. </w:t>
      </w:r>
    </w:p>
    <w:p w:rsidR="00A10CD6" w:rsidRPr="006967EE" w:rsidRDefault="00A10CD6" w:rsidP="00A10CD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10CD6" w:rsidRPr="006967EE" w:rsidRDefault="00A10CD6" w:rsidP="00A10CD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27258" w:rsidRPr="007205B4" w:rsidRDefault="00527258" w:rsidP="00527258">
      <w:pPr>
        <w:pStyle w:val="EYBodytextwithparaspace"/>
        <w:spacing w:after="0" w:line="240" w:lineRule="auto"/>
        <w:ind w:right="-85"/>
        <w:rPr>
          <w:rFonts w:cs="Arial"/>
          <w:b/>
          <w:sz w:val="18"/>
          <w:szCs w:val="18"/>
          <w:lang w:val="cs-CZ"/>
        </w:rPr>
      </w:pPr>
      <w:r>
        <w:rPr>
          <w:rFonts w:cs="Arial"/>
          <w:b/>
          <w:sz w:val="18"/>
          <w:szCs w:val="18"/>
          <w:lang w:val="cs-CZ"/>
        </w:rPr>
        <w:t>Informace o Ernst &amp; Young</w:t>
      </w:r>
    </w:p>
    <w:p w:rsidR="00527258" w:rsidRPr="007205B4" w:rsidRDefault="00527258" w:rsidP="00527258">
      <w:pPr>
        <w:ind w:right="-8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Ernst &amp; Young patří mezi nejvýznamnější celosvětové firmy poskytující odborné poradenské služby v oblasti auditu a daňového, transakčního a podnikového poradenství. Naši odborníci, jichž po celém světě působí 141 tisíc, vyznávají stejné hodnoty a spojuje je maximální důraz na kvalitu poskytovaných služeb. Pomáháme našim zaměstnancům, klientům i širšímu společenství uplatňovat jejich potenciál. V tom je náš hlavní přínos.</w:t>
      </w:r>
    </w:p>
    <w:p w:rsidR="00527258" w:rsidRPr="007205B4" w:rsidRDefault="00527258" w:rsidP="00527258">
      <w:pPr>
        <w:ind w:right="-85"/>
        <w:rPr>
          <w:rFonts w:ascii="Arial" w:hAnsi="Arial" w:cs="Arial"/>
          <w:sz w:val="18"/>
          <w:szCs w:val="18"/>
        </w:rPr>
      </w:pPr>
    </w:p>
    <w:p w:rsidR="00527258" w:rsidRPr="007205B4" w:rsidRDefault="00527258" w:rsidP="00527258">
      <w:pPr>
        <w:ind w:right="-85"/>
        <w:rPr>
          <w:rFonts w:ascii="Arial" w:hAnsi="Arial" w:cs="Arial"/>
          <w:sz w:val="18"/>
          <w:szCs w:val="18"/>
        </w:rPr>
      </w:pPr>
    </w:p>
    <w:p w:rsidR="00527258" w:rsidRDefault="00527258" w:rsidP="00527258">
      <w:pPr>
        <w:ind w:right="-8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kern w:val="12"/>
          <w:sz w:val="18"/>
          <w:szCs w:val="18"/>
        </w:rPr>
        <w:t xml:space="preserve">Název Ernst &amp; Young zahrnuje všechny společnosti celosvětové organizace, jejíž řídící společností je britská Ernst </w:t>
      </w:r>
      <w:r>
        <w:rPr>
          <w:rFonts w:ascii="Arial" w:hAnsi="Arial" w:cs="Arial"/>
          <w:i/>
          <w:kern w:val="12"/>
          <w:sz w:val="18"/>
          <w:szCs w:val="18"/>
        </w:rPr>
        <w:br/>
        <w:t>&amp; Young Global Limited. Každá z členských společností má vlastní právní subjektivitu. Ernst &amp; Young Global Limited neposkytuje své služby přímo klientům.</w:t>
      </w:r>
      <w:r>
        <w:rPr>
          <w:rFonts w:ascii="Arial" w:hAnsi="Arial" w:cs="Arial"/>
          <w:sz w:val="18"/>
          <w:szCs w:val="18"/>
        </w:rPr>
        <w:t xml:space="preserve"> Podrobnější informace najdete na našich webových stránkách </w:t>
      </w:r>
      <w:hyperlink r:id="rId7" w:history="1">
        <w:r>
          <w:rPr>
            <w:rStyle w:val="Hyperlink"/>
            <w:rFonts w:ascii="Arial" w:hAnsi="Arial" w:cs="Arial"/>
            <w:sz w:val="18"/>
            <w:szCs w:val="18"/>
          </w:rPr>
          <w:t>www.ey.com/cz</w:t>
        </w:r>
      </w:hyperlink>
      <w:r w:rsidRPr="00704B38">
        <w:rPr>
          <w:rFonts w:ascii="Arial" w:hAnsi="Arial" w:cs="Arial"/>
          <w:sz w:val="18"/>
          <w:szCs w:val="18"/>
        </w:rPr>
        <w:t>.</w:t>
      </w:r>
    </w:p>
    <w:p w:rsidR="00527258" w:rsidRDefault="00527258" w:rsidP="00527258">
      <w:pPr>
        <w:ind w:right="-85"/>
        <w:rPr>
          <w:rFonts w:ascii="Arial" w:hAnsi="Arial" w:cs="Arial"/>
          <w:sz w:val="18"/>
          <w:szCs w:val="18"/>
        </w:rPr>
      </w:pPr>
    </w:p>
    <w:p w:rsidR="00D302C2" w:rsidRDefault="00D302C2"/>
    <w:sectPr w:rsidR="00D302C2" w:rsidSect="001C4232">
      <w:headerReference w:type="default" r:id="rId8"/>
      <w:headerReference w:type="first" r:id="rId9"/>
      <w:footerReference w:type="first" r:id="rId10"/>
      <w:pgSz w:w="11907" w:h="16840" w:code="9"/>
      <w:pgMar w:top="2336" w:right="850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050" w:rsidRDefault="00E54050" w:rsidP="009C47B3">
      <w:r>
        <w:separator/>
      </w:r>
    </w:p>
  </w:endnote>
  <w:endnote w:type="continuationSeparator" w:id="0">
    <w:p w:rsidR="00E54050" w:rsidRDefault="00E54050" w:rsidP="009C4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31D" w:rsidRDefault="009C39F2">
    <w:pPr>
      <w:pStyle w:val="Footer"/>
    </w:pPr>
    <w:r w:rsidRPr="009C39F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6.35pt;margin-top:813.65pt;width:135pt;height:9pt;z-index:-251657728;mso-position-horizontal-relative:page;mso-position-vertical-relative:page" filled="f" stroked="f">
          <v:textbox style="mso-next-textbox:#_x0000_s2049" inset="0,0,0,0">
            <w:txbxContent>
              <w:p w:rsidR="0086131D" w:rsidRDefault="0086131D">
                <w:pPr>
                  <w:pStyle w:val="EYFooterinfo"/>
                </w:pPr>
                <w:r>
                  <w:t>A member firm of Ernst &amp; Young Global Limited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050" w:rsidRDefault="00E54050" w:rsidP="009C47B3">
      <w:r>
        <w:separator/>
      </w:r>
    </w:p>
  </w:footnote>
  <w:footnote w:type="continuationSeparator" w:id="0">
    <w:p w:rsidR="00E54050" w:rsidRDefault="00E54050" w:rsidP="009C4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31D" w:rsidRDefault="0086131D">
    <w:pPr>
      <w:pStyle w:val="EYBusinessaddressbold"/>
      <w:ind w:firstLine="6579"/>
      <w:rPr>
        <w:rFonts w:ascii="Arial" w:hAnsi="Arial" w:cs="Arial"/>
        <w:szCs w:val="15"/>
      </w:rPr>
    </w:pPr>
    <w:r>
      <w:rPr>
        <w:b w:val="0"/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-902970</wp:posOffset>
          </wp:positionH>
          <wp:positionV relativeFrom="paragraph">
            <wp:posOffset>-452755</wp:posOffset>
          </wp:positionV>
          <wp:extent cx="4333875" cy="1333500"/>
          <wp:effectExtent l="19050" t="0" r="9525" b="0"/>
          <wp:wrapNone/>
          <wp:docPr id="2" name="obrázek 3" descr="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e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131D" w:rsidRDefault="0086131D">
    <w:pPr>
      <w:pStyle w:val="EYBusinessaddressbold"/>
      <w:ind w:firstLine="6579"/>
      <w:rPr>
        <w:rFonts w:ascii="Arial" w:hAnsi="Arial" w:cs="Arial"/>
        <w:szCs w:val="15"/>
      </w:rPr>
    </w:pPr>
  </w:p>
  <w:p w:rsidR="0086131D" w:rsidRDefault="0086131D">
    <w:pPr>
      <w:pStyle w:val="EYBusinessaddressbold"/>
      <w:ind w:firstLine="6579"/>
      <w:rPr>
        <w:rFonts w:ascii="Arial" w:hAnsi="Arial" w:cs="Arial"/>
        <w:szCs w:val="15"/>
        <w:lang w:val="de-DE"/>
      </w:rPr>
    </w:pPr>
    <w:r>
      <w:rPr>
        <w:rFonts w:ascii="Arial" w:hAnsi="Arial" w:cs="Arial"/>
        <w:szCs w:val="15"/>
        <w:lang w:val="de-DE"/>
      </w:rPr>
      <w:t xml:space="preserve">Ernst &amp; Young </w:t>
    </w:r>
  </w:p>
  <w:p w:rsidR="0086131D" w:rsidRDefault="0086131D">
    <w:pPr>
      <w:pStyle w:val="EYBusinessaddress"/>
      <w:ind w:firstLine="6579"/>
      <w:rPr>
        <w:rFonts w:cs="Arial"/>
        <w:szCs w:val="15"/>
        <w:lang w:val="de-DE"/>
      </w:rPr>
    </w:pPr>
    <w:r>
      <w:rPr>
        <w:rFonts w:cs="Arial"/>
        <w:szCs w:val="15"/>
        <w:lang w:val="de-DE"/>
      </w:rPr>
      <w:t>Karlovo nám. 10</w:t>
    </w:r>
    <w:r>
      <w:rPr>
        <w:rFonts w:cs="Arial"/>
        <w:color w:val="FFD200"/>
        <w:szCs w:val="15"/>
        <w:lang w:val="de-DE"/>
      </w:rPr>
      <w:t xml:space="preserve"> </w:t>
    </w:r>
  </w:p>
  <w:p w:rsidR="0086131D" w:rsidRDefault="0086131D">
    <w:pPr>
      <w:pStyle w:val="EYBusinessaddress"/>
      <w:ind w:firstLine="6579"/>
      <w:rPr>
        <w:lang w:val="de-DE"/>
      </w:rPr>
    </w:pPr>
    <w:r>
      <w:rPr>
        <w:lang w:val="de-DE"/>
      </w:rPr>
      <w:t>120 00  Praha 2</w:t>
    </w:r>
  </w:p>
  <w:p w:rsidR="0086131D" w:rsidRDefault="0086131D">
    <w:pPr>
      <w:pStyle w:val="EYBusinessaddress"/>
      <w:ind w:firstLine="6579"/>
      <w:rPr>
        <w:lang w:val="de-DE"/>
      </w:rPr>
    </w:pPr>
    <w:r>
      <w:rPr>
        <w:lang w:val="de-DE"/>
      </w:rPr>
      <w:t>www.ey.com/cz</w:t>
    </w:r>
  </w:p>
  <w:p w:rsidR="0086131D" w:rsidRDefault="0086131D">
    <w:pPr>
      <w:pStyle w:val="Header"/>
      <w:tabs>
        <w:tab w:val="left" w:pos="6537"/>
      </w:tabs>
      <w:rPr>
        <w:lang w:val="de-DE"/>
      </w:rPr>
    </w:pPr>
  </w:p>
  <w:p w:rsidR="0086131D" w:rsidRDefault="0086131D">
    <w:pPr>
      <w:pStyle w:val="Header"/>
      <w:rPr>
        <w:lang w:val="de-D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31D" w:rsidRDefault="0086131D">
    <w:pPr>
      <w:pStyle w:val="EYBusinessaddressbold"/>
      <w:ind w:firstLine="6579"/>
      <w:rPr>
        <w:rFonts w:ascii="Arial" w:hAnsi="Arial" w:cs="Arial"/>
        <w:szCs w:val="15"/>
      </w:rPr>
    </w:pPr>
    <w:r>
      <w:rPr>
        <w:b w:val="0"/>
        <w:noProof/>
        <w:lang w:val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-902970</wp:posOffset>
          </wp:positionH>
          <wp:positionV relativeFrom="paragraph">
            <wp:posOffset>-452755</wp:posOffset>
          </wp:positionV>
          <wp:extent cx="4333875" cy="1333500"/>
          <wp:effectExtent l="19050" t="0" r="9525" b="0"/>
          <wp:wrapNone/>
          <wp:docPr id="1" name="obrázek 2" descr="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e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131D" w:rsidRDefault="0086131D">
    <w:pPr>
      <w:pStyle w:val="EYBusinessaddressbold"/>
      <w:ind w:firstLine="6579"/>
      <w:rPr>
        <w:rFonts w:ascii="Arial" w:hAnsi="Arial" w:cs="Arial"/>
        <w:szCs w:val="15"/>
      </w:rPr>
    </w:pPr>
  </w:p>
  <w:p w:rsidR="0086131D" w:rsidRDefault="0086131D">
    <w:pPr>
      <w:pStyle w:val="EYBusinessaddressbold"/>
      <w:ind w:firstLine="6579"/>
      <w:rPr>
        <w:rFonts w:ascii="Arial" w:hAnsi="Arial" w:cs="Arial"/>
        <w:szCs w:val="15"/>
        <w:lang w:val="de-DE"/>
      </w:rPr>
    </w:pPr>
    <w:r>
      <w:rPr>
        <w:rFonts w:ascii="Arial" w:hAnsi="Arial" w:cs="Arial"/>
        <w:szCs w:val="15"/>
        <w:lang w:val="de-DE"/>
      </w:rPr>
      <w:t xml:space="preserve">Ernst &amp; Young </w:t>
    </w:r>
  </w:p>
  <w:p w:rsidR="0086131D" w:rsidRDefault="0086131D">
    <w:pPr>
      <w:pStyle w:val="EYBusinessaddress"/>
      <w:ind w:firstLine="6579"/>
      <w:rPr>
        <w:rFonts w:cs="Arial"/>
        <w:szCs w:val="15"/>
        <w:lang w:val="de-DE"/>
      </w:rPr>
    </w:pPr>
    <w:r>
      <w:rPr>
        <w:rFonts w:cs="Arial"/>
        <w:szCs w:val="15"/>
        <w:lang w:val="de-DE"/>
      </w:rPr>
      <w:t>Karlovo nám. 10</w:t>
    </w:r>
    <w:r>
      <w:rPr>
        <w:rFonts w:cs="Arial"/>
        <w:color w:val="FFD200"/>
        <w:szCs w:val="15"/>
        <w:lang w:val="de-DE"/>
      </w:rPr>
      <w:t xml:space="preserve"> </w:t>
    </w:r>
  </w:p>
  <w:p w:rsidR="0086131D" w:rsidRDefault="0086131D">
    <w:pPr>
      <w:pStyle w:val="EYBusinessaddress"/>
      <w:ind w:firstLine="6579"/>
      <w:rPr>
        <w:lang w:val="de-DE"/>
      </w:rPr>
    </w:pPr>
    <w:r>
      <w:rPr>
        <w:lang w:val="de-DE"/>
      </w:rPr>
      <w:t>120 00  Praha 2</w:t>
    </w:r>
  </w:p>
  <w:p w:rsidR="0086131D" w:rsidRDefault="0086131D">
    <w:pPr>
      <w:pStyle w:val="Header"/>
      <w:tabs>
        <w:tab w:val="left" w:pos="653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A84"/>
    <w:multiLevelType w:val="hybridMultilevel"/>
    <w:tmpl w:val="75A6E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641B6"/>
    <w:multiLevelType w:val="hybridMultilevel"/>
    <w:tmpl w:val="048821D0"/>
    <w:lvl w:ilvl="0" w:tplc="AE8254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35F4D"/>
    <w:multiLevelType w:val="hybridMultilevel"/>
    <w:tmpl w:val="9E8AC076"/>
    <w:lvl w:ilvl="0" w:tplc="858EFD04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F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464A6"/>
    <w:multiLevelType w:val="hybridMultilevel"/>
    <w:tmpl w:val="E6943FB2"/>
    <w:lvl w:ilvl="0" w:tplc="206065C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7A0C88E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48A4277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9A82D22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A3AC6F6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8AF4511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6108E14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6CA6995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281AE1D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4">
    <w:nsid w:val="72C25020"/>
    <w:multiLevelType w:val="hybridMultilevel"/>
    <w:tmpl w:val="2CCACCFC"/>
    <w:lvl w:ilvl="0" w:tplc="90F6BD4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EDEE778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EE90994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F36AB8F6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37A069E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95566EB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33B27FE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1DAA5F5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F17A6E2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5">
    <w:nsid w:val="7E432BC0"/>
    <w:multiLevelType w:val="hybridMultilevel"/>
    <w:tmpl w:val="3F74D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7258"/>
    <w:rsid w:val="000124D5"/>
    <w:rsid w:val="00015D37"/>
    <w:rsid w:val="00022F49"/>
    <w:rsid w:val="00035649"/>
    <w:rsid w:val="00045FC1"/>
    <w:rsid w:val="00061CEC"/>
    <w:rsid w:val="00085B27"/>
    <w:rsid w:val="00085FC7"/>
    <w:rsid w:val="00090732"/>
    <w:rsid w:val="000B0933"/>
    <w:rsid w:val="000B383A"/>
    <w:rsid w:val="000D434A"/>
    <w:rsid w:val="000D6F7E"/>
    <w:rsid w:val="000E36E1"/>
    <w:rsid w:val="00114FA4"/>
    <w:rsid w:val="001201F7"/>
    <w:rsid w:val="001277C4"/>
    <w:rsid w:val="00135FA9"/>
    <w:rsid w:val="00150372"/>
    <w:rsid w:val="001756FE"/>
    <w:rsid w:val="001766B7"/>
    <w:rsid w:val="001A68BF"/>
    <w:rsid w:val="001C4232"/>
    <w:rsid w:val="001D190A"/>
    <w:rsid w:val="00202650"/>
    <w:rsid w:val="002045E1"/>
    <w:rsid w:val="00231C92"/>
    <w:rsid w:val="002518BE"/>
    <w:rsid w:val="002728A2"/>
    <w:rsid w:val="00274CA1"/>
    <w:rsid w:val="00280525"/>
    <w:rsid w:val="002830A2"/>
    <w:rsid w:val="002836A5"/>
    <w:rsid w:val="0028448F"/>
    <w:rsid w:val="00292CE7"/>
    <w:rsid w:val="00294521"/>
    <w:rsid w:val="002A362D"/>
    <w:rsid w:val="002B67CE"/>
    <w:rsid w:val="00314737"/>
    <w:rsid w:val="003224D4"/>
    <w:rsid w:val="00323EB7"/>
    <w:rsid w:val="003404A1"/>
    <w:rsid w:val="00361211"/>
    <w:rsid w:val="003663BF"/>
    <w:rsid w:val="00381B50"/>
    <w:rsid w:val="003908CD"/>
    <w:rsid w:val="00392225"/>
    <w:rsid w:val="003961B2"/>
    <w:rsid w:val="003A6414"/>
    <w:rsid w:val="003B0E57"/>
    <w:rsid w:val="003C5732"/>
    <w:rsid w:val="003C661E"/>
    <w:rsid w:val="003D2DBD"/>
    <w:rsid w:val="003E1834"/>
    <w:rsid w:val="003E3B48"/>
    <w:rsid w:val="003F4835"/>
    <w:rsid w:val="00407489"/>
    <w:rsid w:val="00436702"/>
    <w:rsid w:val="004609A1"/>
    <w:rsid w:val="004628D7"/>
    <w:rsid w:val="004938BD"/>
    <w:rsid w:val="004B006F"/>
    <w:rsid w:val="004B1C53"/>
    <w:rsid w:val="004B6D27"/>
    <w:rsid w:val="004E2541"/>
    <w:rsid w:val="00517EE4"/>
    <w:rsid w:val="00527258"/>
    <w:rsid w:val="00543174"/>
    <w:rsid w:val="00546D52"/>
    <w:rsid w:val="00557F72"/>
    <w:rsid w:val="00575744"/>
    <w:rsid w:val="0059792B"/>
    <w:rsid w:val="005A35F5"/>
    <w:rsid w:val="005A5204"/>
    <w:rsid w:val="005B08EE"/>
    <w:rsid w:val="005C7169"/>
    <w:rsid w:val="005D1BAD"/>
    <w:rsid w:val="005F0508"/>
    <w:rsid w:val="005F1AF3"/>
    <w:rsid w:val="00607B1D"/>
    <w:rsid w:val="006379E0"/>
    <w:rsid w:val="00643F3E"/>
    <w:rsid w:val="00645C46"/>
    <w:rsid w:val="0065685E"/>
    <w:rsid w:val="006671F9"/>
    <w:rsid w:val="00682A08"/>
    <w:rsid w:val="006940BF"/>
    <w:rsid w:val="006B2A8F"/>
    <w:rsid w:val="006B3714"/>
    <w:rsid w:val="006C3510"/>
    <w:rsid w:val="006D75A8"/>
    <w:rsid w:val="00703032"/>
    <w:rsid w:val="0070382E"/>
    <w:rsid w:val="00715325"/>
    <w:rsid w:val="00727FAF"/>
    <w:rsid w:val="00746570"/>
    <w:rsid w:val="00754DD3"/>
    <w:rsid w:val="00761E02"/>
    <w:rsid w:val="00764E3B"/>
    <w:rsid w:val="00773773"/>
    <w:rsid w:val="007956AB"/>
    <w:rsid w:val="007C1A2A"/>
    <w:rsid w:val="007C2543"/>
    <w:rsid w:val="007E02AE"/>
    <w:rsid w:val="007E1C7F"/>
    <w:rsid w:val="00830001"/>
    <w:rsid w:val="0086131D"/>
    <w:rsid w:val="008832BA"/>
    <w:rsid w:val="00891BC8"/>
    <w:rsid w:val="008A025B"/>
    <w:rsid w:val="008A5FB2"/>
    <w:rsid w:val="008A6A98"/>
    <w:rsid w:val="008D01CC"/>
    <w:rsid w:val="008D698E"/>
    <w:rsid w:val="008E01D5"/>
    <w:rsid w:val="008E23A7"/>
    <w:rsid w:val="00900911"/>
    <w:rsid w:val="009046A6"/>
    <w:rsid w:val="00906F2D"/>
    <w:rsid w:val="00940550"/>
    <w:rsid w:val="00941998"/>
    <w:rsid w:val="00963258"/>
    <w:rsid w:val="00966C9E"/>
    <w:rsid w:val="00986F35"/>
    <w:rsid w:val="009B29F5"/>
    <w:rsid w:val="009C39F2"/>
    <w:rsid w:val="009C47B3"/>
    <w:rsid w:val="009C5E88"/>
    <w:rsid w:val="009E38A0"/>
    <w:rsid w:val="00A00396"/>
    <w:rsid w:val="00A01EFB"/>
    <w:rsid w:val="00A06311"/>
    <w:rsid w:val="00A10CD6"/>
    <w:rsid w:val="00A36EDF"/>
    <w:rsid w:val="00A507B4"/>
    <w:rsid w:val="00A93E3B"/>
    <w:rsid w:val="00AB155B"/>
    <w:rsid w:val="00AC3D0B"/>
    <w:rsid w:val="00AC4AB2"/>
    <w:rsid w:val="00AD394E"/>
    <w:rsid w:val="00AE2720"/>
    <w:rsid w:val="00AF4336"/>
    <w:rsid w:val="00B00160"/>
    <w:rsid w:val="00B200C3"/>
    <w:rsid w:val="00B46ADF"/>
    <w:rsid w:val="00B50734"/>
    <w:rsid w:val="00B5080A"/>
    <w:rsid w:val="00B56236"/>
    <w:rsid w:val="00B6323A"/>
    <w:rsid w:val="00B87D56"/>
    <w:rsid w:val="00B91558"/>
    <w:rsid w:val="00BA534C"/>
    <w:rsid w:val="00BC0151"/>
    <w:rsid w:val="00BF0B75"/>
    <w:rsid w:val="00BF0F05"/>
    <w:rsid w:val="00C112D3"/>
    <w:rsid w:val="00C1177C"/>
    <w:rsid w:val="00C24A85"/>
    <w:rsid w:val="00C35986"/>
    <w:rsid w:val="00C41091"/>
    <w:rsid w:val="00C676B6"/>
    <w:rsid w:val="00C96C8F"/>
    <w:rsid w:val="00CA5755"/>
    <w:rsid w:val="00CF0D2A"/>
    <w:rsid w:val="00D009CA"/>
    <w:rsid w:val="00D302C2"/>
    <w:rsid w:val="00D51436"/>
    <w:rsid w:val="00D55378"/>
    <w:rsid w:val="00D56D60"/>
    <w:rsid w:val="00D6305B"/>
    <w:rsid w:val="00D9404A"/>
    <w:rsid w:val="00DA73B4"/>
    <w:rsid w:val="00DB1B00"/>
    <w:rsid w:val="00DB75F8"/>
    <w:rsid w:val="00DE08EB"/>
    <w:rsid w:val="00DE2D38"/>
    <w:rsid w:val="00DE3DD6"/>
    <w:rsid w:val="00DE4EDB"/>
    <w:rsid w:val="00DF16A8"/>
    <w:rsid w:val="00E104BF"/>
    <w:rsid w:val="00E15421"/>
    <w:rsid w:val="00E1654B"/>
    <w:rsid w:val="00E22BAD"/>
    <w:rsid w:val="00E44646"/>
    <w:rsid w:val="00E54050"/>
    <w:rsid w:val="00E57D1A"/>
    <w:rsid w:val="00E859B9"/>
    <w:rsid w:val="00E93E28"/>
    <w:rsid w:val="00EB7B01"/>
    <w:rsid w:val="00EC6F3A"/>
    <w:rsid w:val="00EE667E"/>
    <w:rsid w:val="00EF58BC"/>
    <w:rsid w:val="00F21143"/>
    <w:rsid w:val="00F21160"/>
    <w:rsid w:val="00F212BC"/>
    <w:rsid w:val="00F34264"/>
    <w:rsid w:val="00F613EF"/>
    <w:rsid w:val="00F749C8"/>
    <w:rsid w:val="00F91CD7"/>
    <w:rsid w:val="00FA151C"/>
    <w:rsid w:val="00FA462C"/>
    <w:rsid w:val="00FB3940"/>
    <w:rsid w:val="00FC4254"/>
    <w:rsid w:val="00FE19E3"/>
    <w:rsid w:val="00FE4F2F"/>
    <w:rsid w:val="00FE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272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272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272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27258"/>
    <w:rPr>
      <w:rFonts w:ascii="Times New Roman" w:eastAsia="Times New Roman" w:hAnsi="Times New Roman" w:cs="Times New Roman"/>
      <w:sz w:val="24"/>
      <w:szCs w:val="24"/>
    </w:rPr>
  </w:style>
  <w:style w:type="paragraph" w:customStyle="1" w:styleId="EYNormal">
    <w:name w:val="EY Normal"/>
    <w:link w:val="EYNormalChar"/>
    <w:uiPriority w:val="99"/>
    <w:rsid w:val="00527258"/>
    <w:pPr>
      <w:suppressAutoHyphens/>
      <w:spacing w:after="0" w:line="240" w:lineRule="auto"/>
    </w:pPr>
    <w:rPr>
      <w:rFonts w:ascii="Arial" w:eastAsia="Times New Roman" w:hAnsi="Arial" w:cs="Times New Roman"/>
      <w:kern w:val="12"/>
      <w:sz w:val="11"/>
      <w:szCs w:val="24"/>
      <w:lang w:val="en-GB"/>
    </w:rPr>
  </w:style>
  <w:style w:type="paragraph" w:customStyle="1" w:styleId="EYFooterinfo">
    <w:name w:val="EY Footer info"/>
    <w:basedOn w:val="EYNormal"/>
    <w:rsid w:val="00527258"/>
    <w:rPr>
      <w:color w:val="666666"/>
    </w:rPr>
  </w:style>
  <w:style w:type="paragraph" w:customStyle="1" w:styleId="EYBusinessaddress">
    <w:name w:val="EY Business address"/>
    <w:basedOn w:val="EYNormal"/>
    <w:rsid w:val="00527258"/>
    <w:pPr>
      <w:spacing w:line="170" w:lineRule="atLeast"/>
    </w:pPr>
    <w:rPr>
      <w:color w:val="666666"/>
      <w:sz w:val="15"/>
    </w:rPr>
  </w:style>
  <w:style w:type="paragraph" w:customStyle="1" w:styleId="EYBodytextsubhead1">
    <w:name w:val="EY Body text subhead 1"/>
    <w:basedOn w:val="Normal"/>
    <w:rsid w:val="00527258"/>
    <w:pPr>
      <w:tabs>
        <w:tab w:val="left" w:pos="907"/>
      </w:tabs>
      <w:suppressAutoHyphens/>
      <w:spacing w:after="180" w:line="520" w:lineRule="atLeast"/>
    </w:pPr>
    <w:rPr>
      <w:rFonts w:ascii="Arial Bold" w:hAnsi="Arial Bold"/>
      <w:b/>
      <w:kern w:val="12"/>
      <w:sz w:val="22"/>
      <w:lang w:val="en-GB"/>
    </w:rPr>
  </w:style>
  <w:style w:type="paragraph" w:customStyle="1" w:styleId="EYBodytextwithparaspace">
    <w:name w:val="EY Body text (with para space)"/>
    <w:basedOn w:val="Normal"/>
    <w:link w:val="EYBodytextwithparaspaceChar"/>
    <w:uiPriority w:val="99"/>
    <w:rsid w:val="00527258"/>
    <w:pPr>
      <w:tabs>
        <w:tab w:val="left" w:pos="907"/>
      </w:tabs>
      <w:suppressAutoHyphens/>
      <w:spacing w:after="400" w:line="360" w:lineRule="auto"/>
    </w:pPr>
    <w:rPr>
      <w:rFonts w:ascii="Arial" w:hAnsi="Arial"/>
      <w:kern w:val="12"/>
      <w:sz w:val="22"/>
      <w:lang w:val="en-GB"/>
    </w:rPr>
  </w:style>
  <w:style w:type="paragraph" w:customStyle="1" w:styleId="EYBusinessaddressbold">
    <w:name w:val="EY Business address (bold)"/>
    <w:basedOn w:val="EYBusinessaddress"/>
    <w:next w:val="EYBusinessaddress"/>
    <w:rsid w:val="00527258"/>
    <w:rPr>
      <w:rFonts w:ascii="Arial Bold" w:hAnsi="Arial Bold"/>
      <w:b/>
    </w:rPr>
  </w:style>
  <w:style w:type="character" w:styleId="Hyperlink">
    <w:name w:val="Hyperlink"/>
    <w:basedOn w:val="DefaultParagraphFont"/>
    <w:rsid w:val="00527258"/>
    <w:rPr>
      <w:color w:val="0000FF"/>
      <w:u w:val="single"/>
    </w:rPr>
  </w:style>
  <w:style w:type="character" w:customStyle="1" w:styleId="EYNormalChar">
    <w:name w:val="EY Normal Char"/>
    <w:basedOn w:val="DefaultParagraphFont"/>
    <w:link w:val="EYNormal"/>
    <w:uiPriority w:val="99"/>
    <w:rsid w:val="00527258"/>
    <w:rPr>
      <w:rFonts w:ascii="Arial" w:eastAsia="Times New Roman" w:hAnsi="Arial" w:cs="Times New Roman"/>
      <w:kern w:val="12"/>
      <w:sz w:val="11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72"/>
    <w:rPr>
      <w:rFonts w:ascii="Tahoma" w:eastAsia="Times New Roman" w:hAnsi="Tahoma" w:cs="Tahoma"/>
      <w:sz w:val="16"/>
      <w:szCs w:val="16"/>
    </w:rPr>
  </w:style>
  <w:style w:type="character" w:customStyle="1" w:styleId="EYBodytextwithparaspaceChar">
    <w:name w:val="EY Body text (with para space) Char"/>
    <w:basedOn w:val="DefaultParagraphFont"/>
    <w:link w:val="EYBodytextwithparaspace"/>
    <w:uiPriority w:val="99"/>
    <w:rsid w:val="004B1C53"/>
    <w:rPr>
      <w:rFonts w:ascii="Arial" w:eastAsia="Times New Roman" w:hAnsi="Arial" w:cs="Times New Roman"/>
      <w:kern w:val="12"/>
      <w:szCs w:val="24"/>
      <w:lang w:val="en-GB"/>
    </w:rPr>
  </w:style>
  <w:style w:type="paragraph" w:styleId="Revision">
    <w:name w:val="Revision"/>
    <w:hidden/>
    <w:uiPriority w:val="99"/>
    <w:semiHidden/>
    <w:rsid w:val="001A6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YHeading2">
    <w:name w:val="EY Heading 2"/>
    <w:basedOn w:val="Normal"/>
    <w:next w:val="EYBodytextwithparaspace"/>
    <w:link w:val="EYHeading2Char"/>
    <w:rsid w:val="006C3510"/>
    <w:pPr>
      <w:keepNext/>
      <w:suppressAutoHyphens/>
      <w:spacing w:before="120" w:after="120"/>
    </w:pPr>
    <w:rPr>
      <w:rFonts w:ascii="Arial" w:hAnsi="Arial"/>
      <w:b/>
      <w:kern w:val="12"/>
      <w:sz w:val="22"/>
      <w:lang w:val="en-GB"/>
    </w:rPr>
  </w:style>
  <w:style w:type="character" w:customStyle="1" w:styleId="EYHeading2Char">
    <w:name w:val="EY Heading 2 Char"/>
    <w:basedOn w:val="DefaultParagraphFont"/>
    <w:link w:val="EYHeading2"/>
    <w:rsid w:val="006C3510"/>
    <w:rPr>
      <w:rFonts w:ascii="Arial" w:eastAsia="Times New Roman" w:hAnsi="Arial" w:cs="Times New Roman"/>
      <w:b/>
      <w:kern w:val="12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6C3510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6C35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6485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2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1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2104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49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33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9463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28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07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y.com/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Petranova</dc:creator>
  <cp:lastModifiedBy>Ernst &amp; Young</cp:lastModifiedBy>
  <cp:revision>2</cp:revision>
  <cp:lastPrinted>2011-06-15T08:32:00Z</cp:lastPrinted>
  <dcterms:created xsi:type="dcterms:W3CDTF">2011-06-15T09:08:00Z</dcterms:created>
  <dcterms:modified xsi:type="dcterms:W3CDTF">2011-06-15T09:08:00Z</dcterms:modified>
</cp:coreProperties>
</file>