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96" w:rsidRPr="00C85C69" w:rsidRDefault="00193A96" w:rsidP="00193A96">
      <w:pPr>
        <w:jc w:val="center"/>
        <w:rPr>
          <w:rFonts w:ascii="Arial" w:hAnsi="Arial" w:cs="Arial"/>
        </w:rPr>
      </w:pPr>
      <w:bookmarkStart w:id="0" w:name="_GoBack"/>
      <w:bookmarkEnd w:id="0"/>
    </w:p>
    <w:p w:rsidR="00193A96" w:rsidRPr="001D25FC" w:rsidRDefault="001848C2" w:rsidP="001D25FC">
      <w:pPr>
        <w:spacing w:after="0"/>
        <w:jc w:val="right"/>
        <w:rPr>
          <w:rFonts w:ascii="Arial" w:hAnsi="Arial" w:cs="Arial"/>
        </w:rPr>
      </w:pPr>
      <w:r w:rsidRPr="001E02C0">
        <w:rPr>
          <w:rFonts w:ascii="Arial" w:hAnsi="Arial" w:cs="Arial"/>
        </w:rPr>
        <w:t>Pra</w:t>
      </w:r>
      <w:r w:rsidR="001D25FC" w:rsidRPr="001E02C0">
        <w:rPr>
          <w:rFonts w:ascii="Arial" w:hAnsi="Arial" w:cs="Arial"/>
        </w:rPr>
        <w:t>ha</w:t>
      </w:r>
      <w:r w:rsidRPr="001E02C0">
        <w:rPr>
          <w:rFonts w:ascii="Arial" w:hAnsi="Arial" w:cs="Arial"/>
        </w:rPr>
        <w:t xml:space="preserve"> </w:t>
      </w:r>
      <w:r w:rsidR="001E02C0" w:rsidRPr="001E02C0">
        <w:rPr>
          <w:rFonts w:ascii="Arial" w:hAnsi="Arial" w:cs="Arial"/>
        </w:rPr>
        <w:t>13. července</w:t>
      </w:r>
      <w:r w:rsidRPr="001E02C0">
        <w:rPr>
          <w:rFonts w:ascii="Arial" w:hAnsi="Arial" w:cs="Arial"/>
        </w:rPr>
        <w:t xml:space="preserve"> 2012</w:t>
      </w:r>
    </w:p>
    <w:p w:rsidR="00193A96" w:rsidRPr="00C85C69" w:rsidRDefault="00193A96" w:rsidP="001D25FC">
      <w:pPr>
        <w:spacing w:after="0"/>
        <w:rPr>
          <w:rFonts w:ascii="Arial" w:hAnsi="Arial" w:cs="Arial"/>
          <w:b/>
          <w:sz w:val="32"/>
          <w:szCs w:val="32"/>
        </w:rPr>
      </w:pPr>
    </w:p>
    <w:p w:rsidR="001E02C0" w:rsidRPr="00044A18" w:rsidRDefault="001E02C0" w:rsidP="00044A18">
      <w:pPr>
        <w:spacing w:after="0"/>
        <w:jc w:val="center"/>
        <w:rPr>
          <w:rFonts w:ascii="Arial" w:hAnsi="Arial" w:cs="Arial"/>
          <w:b/>
          <w:sz w:val="32"/>
        </w:rPr>
      </w:pPr>
      <w:r w:rsidRPr="00044A18">
        <w:rPr>
          <w:rFonts w:ascii="Arial" w:hAnsi="Arial" w:cs="Arial"/>
          <w:b/>
          <w:sz w:val="32"/>
        </w:rPr>
        <w:t>Zvýšení sazeb DPH komentuje Marika Konečná, Partner, Daňové poradenství, KPMG Česká republika</w:t>
      </w:r>
    </w:p>
    <w:p w:rsidR="00193A96" w:rsidRPr="004479A0" w:rsidRDefault="00193A96" w:rsidP="002C4337">
      <w:pPr>
        <w:spacing w:after="0"/>
        <w:rPr>
          <w:rFonts w:ascii="Arial" w:hAnsi="Arial" w:cs="Arial"/>
          <w:b/>
          <w:iCs/>
          <w:sz w:val="24"/>
          <w:szCs w:val="28"/>
        </w:rPr>
      </w:pPr>
    </w:p>
    <w:p w:rsidR="00193A96" w:rsidRPr="004479A0" w:rsidRDefault="00193A96" w:rsidP="002C4337">
      <w:pPr>
        <w:spacing w:after="0"/>
        <w:rPr>
          <w:rFonts w:ascii="Arial" w:hAnsi="Arial" w:cs="Arial"/>
        </w:rPr>
      </w:pPr>
    </w:p>
    <w:p w:rsidR="001E02C0" w:rsidRDefault="001E02C0" w:rsidP="001E02C0">
      <w:pPr>
        <w:spacing w:after="0"/>
        <w:rPr>
          <w:rFonts w:ascii="Arial" w:hAnsi="Arial" w:cs="Arial"/>
        </w:rPr>
      </w:pPr>
      <w:r w:rsidRPr="001E02C0">
        <w:rPr>
          <w:rFonts w:ascii="Arial" w:hAnsi="Arial" w:cs="Arial"/>
        </w:rPr>
        <w:t>Zvýšením obou sazeb daně z přidané hodnoty –</w:t>
      </w:r>
      <w:r>
        <w:rPr>
          <w:rFonts w:ascii="Arial" w:hAnsi="Arial" w:cs="Arial"/>
        </w:rPr>
        <w:t xml:space="preserve"> </w:t>
      </w:r>
      <w:r w:rsidRPr="001E02C0">
        <w:rPr>
          <w:rFonts w:ascii="Arial" w:hAnsi="Arial" w:cs="Arial"/>
        </w:rPr>
        <w:t xml:space="preserve">o jeden procentní bod na 15 </w:t>
      </w:r>
      <w:r>
        <w:rPr>
          <w:rFonts w:ascii="Arial" w:hAnsi="Arial" w:cs="Arial"/>
        </w:rPr>
        <w:t>procent</w:t>
      </w:r>
      <w:r w:rsidRPr="001E02C0">
        <w:rPr>
          <w:rFonts w:ascii="Arial" w:hAnsi="Arial" w:cs="Arial"/>
        </w:rPr>
        <w:t xml:space="preserve"> a 21 </w:t>
      </w:r>
      <w:r>
        <w:rPr>
          <w:rFonts w:ascii="Arial" w:hAnsi="Arial" w:cs="Arial"/>
        </w:rPr>
        <w:t>procent</w:t>
      </w:r>
      <w:r w:rsidRPr="001E02C0">
        <w:rPr>
          <w:rFonts w:ascii="Arial" w:hAnsi="Arial" w:cs="Arial"/>
        </w:rPr>
        <w:t xml:space="preserve"> – pokračuje houpačka sazeb, které jsme svědky od roku 2004. </w:t>
      </w:r>
    </w:p>
    <w:p w:rsidR="001E02C0" w:rsidRDefault="001E02C0" w:rsidP="001E02C0">
      <w:pPr>
        <w:spacing w:after="0"/>
        <w:rPr>
          <w:rFonts w:ascii="Arial" w:hAnsi="Arial" w:cs="Arial"/>
        </w:rPr>
      </w:pPr>
    </w:p>
    <w:p w:rsidR="001E02C0" w:rsidRDefault="001E02C0" w:rsidP="001E02C0">
      <w:pPr>
        <w:spacing w:after="0"/>
        <w:rPr>
          <w:rFonts w:ascii="Arial" w:hAnsi="Arial" w:cs="Arial"/>
        </w:rPr>
      </w:pPr>
      <w:r w:rsidRPr="001E02C0">
        <w:rPr>
          <w:rFonts w:ascii="Arial" w:hAnsi="Arial" w:cs="Arial"/>
        </w:rPr>
        <w:t xml:space="preserve">Zatímco u základní sazby došlo v roce 2004 k jejímu snížení z 22 na 19 </w:t>
      </w:r>
      <w:r>
        <w:rPr>
          <w:rFonts w:ascii="Arial" w:hAnsi="Arial" w:cs="Arial"/>
        </w:rPr>
        <w:t>procent</w:t>
      </w:r>
      <w:r w:rsidRPr="001E02C0">
        <w:rPr>
          <w:rFonts w:ascii="Arial" w:hAnsi="Arial" w:cs="Arial"/>
        </w:rPr>
        <w:t xml:space="preserve"> a následně k postupnému zvyšování (v roce 2010 na 20, nyní na 21 </w:t>
      </w:r>
      <w:r>
        <w:rPr>
          <w:rFonts w:ascii="Arial" w:hAnsi="Arial" w:cs="Arial"/>
        </w:rPr>
        <w:t>procent</w:t>
      </w:r>
      <w:r w:rsidRPr="001E02C0">
        <w:rPr>
          <w:rFonts w:ascii="Arial" w:hAnsi="Arial" w:cs="Arial"/>
        </w:rPr>
        <w:t>), u snížené sazby, která se uplatňuje zejména u potravin, léků, zdravotních pomůcek, knih apod.</w:t>
      </w:r>
      <w:r>
        <w:rPr>
          <w:rFonts w:ascii="Arial" w:hAnsi="Arial" w:cs="Arial"/>
        </w:rPr>
        <w:t>,</w:t>
      </w:r>
      <w:r w:rsidRPr="001E02C0">
        <w:rPr>
          <w:rFonts w:ascii="Arial" w:hAnsi="Arial" w:cs="Arial"/>
        </w:rPr>
        <w:t xml:space="preserve"> sledujeme pouze pohyb </w:t>
      </w:r>
      <w:r w:rsidR="00044A18">
        <w:rPr>
          <w:rFonts w:ascii="Arial" w:hAnsi="Arial" w:cs="Arial"/>
        </w:rPr>
        <w:t>vzhůru – z původních pěti na devět procent v roce 2009, na deset</w:t>
      </w:r>
      <w:r w:rsidRPr="00607BEF">
        <w:rPr>
          <w:rFonts w:ascii="Arial" w:hAnsi="Arial" w:cs="Arial"/>
        </w:rPr>
        <w:t xml:space="preserve"> procent v roce 2010, na 14 procent v roce</w:t>
      </w:r>
      <w:r w:rsidRPr="001E02C0">
        <w:rPr>
          <w:rFonts w:ascii="Arial" w:hAnsi="Arial" w:cs="Arial"/>
        </w:rPr>
        <w:t xml:space="preserve"> 2012 a nyní nás čeká 15</w:t>
      </w:r>
      <w:r>
        <w:rPr>
          <w:rFonts w:ascii="Arial" w:hAnsi="Arial" w:cs="Arial"/>
        </w:rPr>
        <w:t>procentní</w:t>
      </w:r>
      <w:r w:rsidRPr="001E02C0">
        <w:rPr>
          <w:rFonts w:ascii="Arial" w:hAnsi="Arial" w:cs="Arial"/>
        </w:rPr>
        <w:t xml:space="preserve"> sazba DPH. To je více než dvojnásobek sazby uplatňované například v sousedním Německu. </w:t>
      </w:r>
    </w:p>
    <w:p w:rsidR="001E02C0" w:rsidRDefault="001E02C0" w:rsidP="001E02C0">
      <w:pPr>
        <w:spacing w:after="0"/>
        <w:rPr>
          <w:rFonts w:ascii="Arial" w:hAnsi="Arial" w:cs="Arial"/>
        </w:rPr>
      </w:pPr>
    </w:p>
    <w:p w:rsidR="001E02C0" w:rsidRPr="001E02C0" w:rsidRDefault="001E02C0" w:rsidP="001E02C0">
      <w:pPr>
        <w:spacing w:after="0"/>
        <w:rPr>
          <w:rFonts w:ascii="Arial" w:hAnsi="Arial" w:cs="Arial"/>
        </w:rPr>
      </w:pPr>
      <w:r w:rsidRPr="001E02C0">
        <w:rPr>
          <w:rFonts w:ascii="Arial" w:hAnsi="Arial" w:cs="Arial"/>
        </w:rPr>
        <w:t xml:space="preserve">Jistou útěchou může být fakt, že </w:t>
      </w:r>
      <w:r>
        <w:rPr>
          <w:rFonts w:ascii="Arial" w:hAnsi="Arial" w:cs="Arial"/>
        </w:rPr>
        <w:t>nedošlo k</w:t>
      </w:r>
      <w:r w:rsidRPr="001E02C0">
        <w:rPr>
          <w:rFonts w:ascii="Arial" w:hAnsi="Arial" w:cs="Arial"/>
        </w:rPr>
        <w:t xml:space="preserve"> předpokláda</w:t>
      </w:r>
      <w:r>
        <w:rPr>
          <w:rFonts w:ascii="Arial" w:hAnsi="Arial" w:cs="Arial"/>
        </w:rPr>
        <w:t>nému</w:t>
      </w:r>
      <w:r w:rsidRPr="001E02C0">
        <w:rPr>
          <w:rFonts w:ascii="Arial" w:hAnsi="Arial" w:cs="Arial"/>
        </w:rPr>
        <w:t xml:space="preserve"> uplatnění jednotné sazby ve výši 17,5 </w:t>
      </w:r>
      <w:r>
        <w:rPr>
          <w:rFonts w:ascii="Arial" w:hAnsi="Arial" w:cs="Arial"/>
        </w:rPr>
        <w:t>procenta</w:t>
      </w:r>
      <w:r w:rsidRPr="001E02C0">
        <w:rPr>
          <w:rFonts w:ascii="Arial" w:hAnsi="Arial" w:cs="Arial"/>
        </w:rPr>
        <w:t>, což by řadu položek zboží a služeb velmi dramaticky ovlivnilo.</w:t>
      </w:r>
    </w:p>
    <w:p w:rsidR="001E02C0" w:rsidRDefault="001E02C0" w:rsidP="001E02C0">
      <w:pPr>
        <w:ind w:left="708"/>
        <w:rPr>
          <w:color w:val="1F497D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1E02C0" w:rsidRPr="001D25FC" w:rsidRDefault="001E02C0" w:rsidP="001E02C0">
      <w:pPr>
        <w:spacing w:after="0"/>
        <w:jc w:val="right"/>
        <w:rPr>
          <w:rFonts w:ascii="Arial" w:hAnsi="Arial" w:cs="Arial"/>
        </w:rPr>
      </w:pPr>
      <w:r w:rsidRPr="001E02C0">
        <w:rPr>
          <w:rFonts w:ascii="Arial" w:hAnsi="Arial" w:cs="Arial"/>
        </w:rPr>
        <w:t>Praha 13. července 2012</w:t>
      </w:r>
    </w:p>
    <w:p w:rsidR="00193A96" w:rsidRDefault="00193A96" w:rsidP="00193A96">
      <w:pPr>
        <w:rPr>
          <w:rFonts w:ascii="Arial" w:hAnsi="Arial" w:cs="Arial"/>
          <w:i/>
          <w:iCs/>
          <w:sz w:val="20"/>
          <w:szCs w:val="20"/>
        </w:rPr>
      </w:pPr>
    </w:p>
    <w:p w:rsidR="00193A96" w:rsidRPr="005426F2" w:rsidRDefault="00193A96" w:rsidP="00193A96">
      <w:pPr>
        <w:ind w:left="360"/>
        <w:jc w:val="center"/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 xml:space="preserve">– </w:t>
      </w:r>
      <w:r w:rsidRPr="005426F2">
        <w:rPr>
          <w:rFonts w:ascii="Arial" w:hAnsi="Arial" w:cs="Arial"/>
          <w:b/>
          <w:iCs/>
          <w:szCs w:val="20"/>
        </w:rPr>
        <w:t>KONEC</w:t>
      </w:r>
      <w:r w:rsidR="00684852">
        <w:rPr>
          <w:rFonts w:ascii="Arial" w:hAnsi="Arial" w:cs="Arial"/>
          <w:b/>
          <w:iCs/>
          <w:szCs w:val="20"/>
        </w:rPr>
        <w:t xml:space="preserve"> </w:t>
      </w:r>
      <w:r w:rsidRPr="005426F2">
        <w:rPr>
          <w:rFonts w:ascii="Arial" w:hAnsi="Arial" w:cs="Arial"/>
          <w:b/>
          <w:iCs/>
          <w:szCs w:val="20"/>
        </w:rPr>
        <w:t>–</w:t>
      </w:r>
    </w:p>
    <w:p w:rsidR="00193A96" w:rsidRDefault="00193A96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tbl>
      <w:tblPr>
        <w:tblStyle w:val="Mkatabulky"/>
        <w:tblW w:w="1169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487"/>
        <w:gridCol w:w="2194"/>
        <w:gridCol w:w="3969"/>
        <w:gridCol w:w="2058"/>
      </w:tblGrid>
      <w:tr w:rsidR="00986DBE" w:rsidRPr="00A31E69" w:rsidTr="00CA5463">
        <w:trPr>
          <w:trHeight w:val="391"/>
        </w:trPr>
        <w:tc>
          <w:tcPr>
            <w:tcW w:w="2989" w:type="dxa"/>
            <w:shd w:val="clear" w:color="auto" w:fill="00338D"/>
          </w:tcPr>
          <w:p w:rsidR="00986DBE" w:rsidRPr="00CC3207" w:rsidRDefault="00986DBE" w:rsidP="00CC3207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</w:p>
          <w:p w:rsidR="00986DBE" w:rsidRPr="00780FAD" w:rsidRDefault="00986DBE" w:rsidP="00C43289">
            <w:pPr>
              <w:pStyle w:val="Contact"/>
              <w:spacing w:line="240" w:lineRule="auto"/>
              <w:ind w:left="175"/>
              <w:rPr>
                <w:rFonts w:ascii="Arial" w:hAnsi="Arial" w:cs="Arial"/>
                <w:b/>
              </w:rPr>
            </w:pPr>
            <w:r w:rsidRPr="00780FAD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  <w:b/>
              </w:rPr>
              <w:t>y</w:t>
            </w:r>
            <w:r w:rsidRPr="00780FAD">
              <w:rPr>
                <w:rFonts w:ascii="Arial" w:hAnsi="Arial" w:cs="Arial"/>
                <w:b/>
              </w:rPr>
              <w:t xml:space="preserve"> pro média</w:t>
            </w:r>
          </w:p>
        </w:tc>
        <w:tc>
          <w:tcPr>
            <w:tcW w:w="487" w:type="dxa"/>
            <w:shd w:val="clear" w:color="auto" w:fill="00338D"/>
          </w:tcPr>
          <w:p w:rsidR="00986DBE" w:rsidRPr="00CC3207" w:rsidRDefault="00986DBE" w:rsidP="00AB4C9E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8221" w:type="dxa"/>
            <w:gridSpan w:val="3"/>
            <w:shd w:val="clear" w:color="auto" w:fill="00338D"/>
          </w:tcPr>
          <w:p w:rsidR="00986DBE" w:rsidRPr="00CC3207" w:rsidRDefault="00986DBE" w:rsidP="00986DBE">
            <w:pPr>
              <w:pStyle w:val="Contact"/>
              <w:spacing w:line="240" w:lineRule="auto"/>
              <w:ind w:right="459"/>
              <w:rPr>
                <w:rFonts w:ascii="Arial" w:hAnsi="Arial" w:cs="Arial"/>
                <w:b/>
                <w:sz w:val="8"/>
              </w:rPr>
            </w:pPr>
          </w:p>
        </w:tc>
      </w:tr>
      <w:tr w:rsidR="00986DBE" w:rsidRPr="00A31E69" w:rsidTr="00CA5463">
        <w:trPr>
          <w:gridAfter w:val="1"/>
          <w:wAfter w:w="2058" w:type="dxa"/>
        </w:trPr>
        <w:tc>
          <w:tcPr>
            <w:tcW w:w="5670" w:type="dxa"/>
            <w:gridSpan w:val="3"/>
          </w:tcPr>
          <w:p w:rsidR="00986DBE" w:rsidRPr="00FA4F07" w:rsidRDefault="00986DBE" w:rsidP="003B10ED">
            <w:pPr>
              <w:spacing w:before="240"/>
              <w:ind w:left="175" w:right="742"/>
              <w:rPr>
                <w:rStyle w:val="Contactbold"/>
                <w:color w:val="00338D"/>
                <w:lang w:val="en-US"/>
              </w:rPr>
            </w:pPr>
            <w:r w:rsidRPr="00FA4F07">
              <w:rPr>
                <w:rStyle w:val="Contactbold"/>
                <w:color w:val="00338D"/>
                <w:lang w:val="en-US"/>
              </w:rPr>
              <w:t>Kateřina Konečná</w:t>
            </w:r>
          </w:p>
          <w:p w:rsidR="00986DBE" w:rsidRPr="00F05123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F05123">
              <w:rPr>
                <w:rFonts w:ascii="Arial" w:hAnsi="Arial" w:cs="Arial"/>
                <w:noProof/>
                <w:color w:val="000000"/>
              </w:rPr>
              <w:t>Marketing and Communications Manager</w:t>
            </w:r>
          </w:p>
          <w:p w:rsidR="00986DBE" w:rsidRPr="00F05123" w:rsidRDefault="00986DBE" w:rsidP="00C43289">
            <w:pPr>
              <w:spacing w:line="276" w:lineRule="auto"/>
              <w:ind w:left="175"/>
              <w:rPr>
                <w:rFonts w:ascii="Arial" w:hAnsi="Arial" w:cs="Arial"/>
                <w:b/>
                <w:noProof/>
                <w:color w:val="000000"/>
              </w:rPr>
            </w:pPr>
            <w:r w:rsidRPr="00F05123">
              <w:rPr>
                <w:rFonts w:ascii="Arial" w:hAnsi="Arial" w:cs="Arial"/>
                <w:b/>
                <w:noProof/>
                <w:color w:val="000000"/>
              </w:rPr>
              <w:t>KPMG Česká republika</w:t>
            </w:r>
          </w:p>
          <w:p w:rsidR="00986DBE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8F4C63">
              <w:rPr>
                <w:rFonts w:ascii="Arial" w:hAnsi="Arial" w:cs="Arial"/>
                <w:b/>
                <w:noProof/>
                <w:color w:val="000000"/>
              </w:rPr>
              <w:t>T</w:t>
            </w:r>
            <w:r>
              <w:rPr>
                <w:rFonts w:ascii="Arial" w:hAnsi="Arial" w:cs="Arial"/>
                <w:b/>
                <w:noProof/>
                <w:color w:val="000000"/>
              </w:rPr>
              <w:t>:</w:t>
            </w:r>
            <w:r w:rsidRPr="00A31E69">
              <w:rPr>
                <w:rFonts w:ascii="Arial" w:hAnsi="Arial" w:cs="Arial"/>
                <w:noProof/>
                <w:color w:val="000000"/>
              </w:rPr>
              <w:t xml:space="preserve"> 222 123</w:t>
            </w:r>
            <w:r>
              <w:rPr>
                <w:rFonts w:ascii="Arial" w:hAnsi="Arial" w:cs="Arial"/>
                <w:noProof/>
                <w:color w:val="000000"/>
              </w:rPr>
              <w:t> </w:t>
            </w:r>
            <w:r w:rsidRPr="00A31E69">
              <w:rPr>
                <w:rFonts w:ascii="Arial" w:hAnsi="Arial" w:cs="Arial"/>
                <w:noProof/>
                <w:color w:val="000000"/>
              </w:rPr>
              <w:t>256</w:t>
            </w:r>
          </w:p>
          <w:p w:rsidR="00986DBE" w:rsidRDefault="00986DBE" w:rsidP="00C43289">
            <w:pPr>
              <w:ind w:left="175"/>
            </w:pPr>
            <w:r w:rsidRPr="0054537C">
              <w:rPr>
                <w:rStyle w:val="Contactbold"/>
                <w:lang w:val="de-DE"/>
              </w:rPr>
              <w:t>E</w:t>
            </w:r>
            <w:r>
              <w:rPr>
                <w:rStyle w:val="Contactbold"/>
                <w:lang w:val="de-DE"/>
              </w:rPr>
              <w:t>:</w:t>
            </w:r>
            <w:r w:rsidRPr="00BA3DBB">
              <w:t xml:space="preserve"> </w:t>
            </w:r>
            <w:hyperlink r:id="rId8" w:history="1">
              <w:r w:rsidRPr="00CE05AF">
                <w:rPr>
                  <w:rStyle w:val="Hypertextovodkaz"/>
                  <w:rFonts w:ascii="Arial" w:hAnsi="Arial" w:cs="Arial"/>
                </w:rPr>
                <w:t>kkonecna@kpmg.cz</w:t>
              </w:r>
            </w:hyperlink>
          </w:p>
          <w:p w:rsidR="00986DBE" w:rsidRPr="008A0D9A" w:rsidRDefault="009F62AB" w:rsidP="00C43289">
            <w:pPr>
              <w:pStyle w:val="Contactemail"/>
              <w:tabs>
                <w:tab w:val="left" w:pos="5685"/>
              </w:tabs>
              <w:spacing w:before="240"/>
              <w:ind w:left="175"/>
              <w:rPr>
                <w:rStyle w:val="Contactbold"/>
                <w:rFonts w:cs="Arial"/>
                <w:i/>
                <w:szCs w:val="20"/>
                <w:lang w:val="cs-CZ" w:eastAsia="cs-CZ"/>
              </w:rPr>
            </w:pPr>
            <w:hyperlink r:id="rId9" w:history="1">
              <w:r w:rsidR="00986DBE" w:rsidRPr="00F05123">
                <w:rPr>
                  <w:rStyle w:val="Contactbold"/>
                  <w:color w:val="00338D"/>
                  <w:lang w:val="de-DE"/>
                </w:rPr>
                <w:t>www.kpmg.cz</w:t>
              </w:r>
            </w:hyperlink>
          </w:p>
        </w:tc>
        <w:tc>
          <w:tcPr>
            <w:tcW w:w="3969" w:type="dxa"/>
          </w:tcPr>
          <w:p w:rsidR="00CA5463" w:rsidRPr="007A6EBD" w:rsidRDefault="00CA5463" w:rsidP="00CA5463">
            <w:pPr>
              <w:spacing w:before="240"/>
              <w:ind w:left="696"/>
              <w:rPr>
                <w:rStyle w:val="Contactbold"/>
                <w:rFonts w:cs="Arial"/>
                <w:color w:val="00338D"/>
                <w:szCs w:val="20"/>
              </w:rPr>
            </w:pPr>
            <w:r w:rsidRPr="00EB0A19">
              <w:rPr>
                <w:rStyle w:val="Contactbold"/>
                <w:color w:val="00338D"/>
                <w:szCs w:val="20"/>
              </w:rPr>
              <w:t>Lucie Neubergová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noProof/>
                <w:color w:val="000000"/>
              </w:rPr>
            </w:pPr>
            <w:r w:rsidRPr="007A6EBD">
              <w:rPr>
                <w:rFonts w:ascii="Arial" w:hAnsi="Arial" w:cs="Arial"/>
                <w:noProof/>
                <w:color w:val="000000"/>
              </w:rPr>
              <w:t>Account Manager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b/>
                <w:noProof/>
                <w:color w:val="000000"/>
              </w:rPr>
            </w:pPr>
            <w:r w:rsidRPr="007A6EBD">
              <w:rPr>
                <w:rFonts w:ascii="Arial" w:hAnsi="Arial" w:cs="Arial"/>
                <w:b/>
                <w:noProof/>
                <w:color w:val="000000"/>
              </w:rPr>
              <w:t>Native PR</w:t>
            </w:r>
          </w:p>
          <w:p w:rsidR="00CA5463" w:rsidRPr="00555674" w:rsidRDefault="00CA5463" w:rsidP="00CA5463">
            <w:pPr>
              <w:ind w:left="696"/>
              <w:rPr>
                <w:rStyle w:val="Contactbold"/>
                <w:rFonts w:cs="Arial"/>
                <w:szCs w:val="20"/>
                <w:lang w:val="de-DE"/>
              </w:rPr>
            </w:pPr>
            <w:r w:rsidRPr="00555674">
              <w:rPr>
                <w:rFonts w:ascii="Arial" w:hAnsi="Arial" w:cs="Arial"/>
                <w:b/>
                <w:noProof/>
                <w:color w:val="000000"/>
                <w:lang w:val="de-DE"/>
              </w:rPr>
              <w:t>T: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731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6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15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0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33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555674" w:rsidRDefault="00CA5463" w:rsidP="00CA5463">
            <w:pPr>
              <w:ind w:left="696" w:right="-108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555674">
              <w:rPr>
                <w:rStyle w:val="Contactbold"/>
                <w:rFonts w:cs="Arial"/>
                <w:szCs w:val="20"/>
                <w:lang w:val="de-DE"/>
              </w:rPr>
              <w:t>E:</w:t>
            </w:r>
            <w:r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  <w:hyperlink r:id="rId10" w:history="1">
              <w:r w:rsidRPr="00D9107E">
                <w:rPr>
                  <w:rStyle w:val="Hypertextovodkaz"/>
                  <w:rFonts w:ascii="Arial" w:hAnsi="Arial" w:cs="Arial"/>
                  <w:lang w:val="de-DE"/>
                </w:rPr>
                <w:t>lucie.neubergova@nativepr.cz</w:t>
              </w:r>
            </w:hyperlink>
            <w:r>
              <w:rPr>
                <w:rStyle w:val="Contactbold"/>
                <w:rFonts w:cs="Arial"/>
                <w:b w:val="0"/>
                <w:szCs w:val="20"/>
                <w:lang w:val="de-DE"/>
              </w:rPr>
              <w:t xml:space="preserve"> 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7A6EBD" w:rsidRDefault="009F62AB" w:rsidP="00CA5463">
            <w:pPr>
              <w:spacing w:before="240"/>
              <w:ind w:left="696"/>
              <w:rPr>
                <w:rStyle w:val="Contactbold"/>
                <w:color w:val="00338D"/>
              </w:rPr>
            </w:pPr>
            <w:hyperlink r:id="rId11" w:history="1">
              <w:r w:rsidR="00CA5463" w:rsidRPr="007A6EBD">
                <w:rPr>
                  <w:rStyle w:val="Contactbold"/>
                  <w:color w:val="00338D"/>
                  <w:szCs w:val="20"/>
                </w:rPr>
                <w:t>www.nativepr.cz</w:t>
              </w:r>
            </w:hyperlink>
          </w:p>
          <w:p w:rsidR="00986DBE" w:rsidRPr="00FA4F07" w:rsidRDefault="00986DBE" w:rsidP="00CA5463">
            <w:pPr>
              <w:spacing w:before="240"/>
              <w:ind w:left="33" w:right="-40"/>
              <w:rPr>
                <w:rStyle w:val="Contactbold"/>
                <w:color w:val="00338D"/>
                <w:lang w:val="en-US"/>
              </w:rPr>
            </w:pPr>
          </w:p>
        </w:tc>
      </w:tr>
    </w:tbl>
    <w:p w:rsidR="00F05123" w:rsidRDefault="00F05123" w:rsidP="00F05123">
      <w:pPr>
        <w:ind w:left="-993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>Společnost KPMG Česká republika zahájila svou činnost v roce 1990, kdy byla v Praze otevřena první kancelář. V současné době má 740 zaměstnanců a kanceláře v Praze, Brně, Českých Budějovicích, Liberci a Ostravě. KPMG Česká republika poskytuje služby v oblasti auditu, daní</w:t>
      </w:r>
      <w:r w:rsidR="00147D88">
        <w:rPr>
          <w:rFonts w:ascii="Arial" w:hAnsi="Arial" w:cs="Arial"/>
          <w:i/>
          <w:color w:val="000000"/>
          <w:sz w:val="18"/>
          <w:szCs w:val="20"/>
        </w:rPr>
        <w:t>,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poradenství a práv</w:t>
      </w:r>
      <w:r w:rsidR="00147D88">
        <w:rPr>
          <w:rFonts w:ascii="Arial" w:hAnsi="Arial" w:cs="Arial"/>
          <w:i/>
          <w:color w:val="000000"/>
          <w:sz w:val="18"/>
          <w:szCs w:val="20"/>
        </w:rPr>
        <w:t>a</w:t>
      </w:r>
      <w:r w:rsidRPr="00C85C69">
        <w:rPr>
          <w:rFonts w:ascii="Arial" w:hAnsi="Arial" w:cs="Arial"/>
          <w:i/>
          <w:color w:val="000000"/>
          <w:sz w:val="18"/>
          <w:szCs w:val="20"/>
        </w:rPr>
        <w:t>. Z 610 odborných pracovníků je 30 partnerů, 28 statutárních auditorů, 92 certifikovaných účetních a 71 daňových poradců. V KPMG Česká republika působí celkem 22 kvalifikovaných zahraničních odborníků</w:t>
      </w:r>
      <w:r>
        <w:rPr>
          <w:rFonts w:ascii="Arial" w:hAnsi="Arial" w:cs="Arial"/>
          <w:i/>
          <w:color w:val="000000"/>
          <w:sz w:val="18"/>
          <w:szCs w:val="20"/>
        </w:rPr>
        <w:t>.</w:t>
      </w:r>
    </w:p>
    <w:p w:rsidR="007163E3" w:rsidRPr="00BD5B70" w:rsidRDefault="00193A96" w:rsidP="00BD5B70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lastRenderedPageBreak/>
        <w:t xml:space="preserve">KPMG je celosvětová síť poradenských společností poskytujících služby v oblasti auditu, daní a poradenství. </w:t>
      </w:r>
      <w:r w:rsidR="00AA5326">
        <w:rPr>
          <w:rFonts w:ascii="Arial" w:hAnsi="Arial" w:cs="Arial"/>
          <w:i/>
          <w:color w:val="000000"/>
          <w:sz w:val="18"/>
          <w:szCs w:val="20"/>
        </w:rPr>
        <w:br/>
      </w:r>
      <w:r w:rsidRPr="00C85C69">
        <w:rPr>
          <w:rFonts w:ascii="Arial" w:hAnsi="Arial" w:cs="Arial"/>
          <w:i/>
          <w:color w:val="000000"/>
          <w:sz w:val="18"/>
          <w:szCs w:val="20"/>
        </w:rPr>
        <w:t>V jejích členských společnostech pracuje více než 138 000 pracovníků v</w:t>
      </w:r>
      <w:r w:rsidR="00531539">
        <w:rPr>
          <w:rFonts w:ascii="Arial" w:hAnsi="Arial" w:cs="Arial"/>
          <w:i/>
          <w:color w:val="000000"/>
          <w:sz w:val="18"/>
          <w:szCs w:val="20"/>
        </w:rPr>
        <w:t>e 1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50 zemích. Nezávislé členské společnosti sítě KPMG jsou přidružené ke KPMG International Cooperative („KPMG International“), švýcarské organizační jednotce. Každá členská společnost celosvětové sítě KPMG je právně samostatná a oddělená jednotka a tak se označuje. </w:t>
      </w:r>
    </w:p>
    <w:sectPr w:rsidR="007163E3" w:rsidRPr="00BD5B70" w:rsidSect="008C57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092" w:right="850" w:bottom="1418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AB" w:rsidRDefault="009F62AB" w:rsidP="0083372E">
      <w:pPr>
        <w:spacing w:after="0" w:line="240" w:lineRule="auto"/>
      </w:pPr>
      <w:r>
        <w:separator/>
      </w:r>
    </w:p>
  </w:endnote>
  <w:endnote w:type="continuationSeparator" w:id="0">
    <w:p w:rsidR="009F62AB" w:rsidRDefault="009F62AB" w:rsidP="0083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C2" w:rsidRDefault="00B02E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80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B02EC2" w:rsidRDefault="00471795">
        <w:pPr>
          <w:pStyle w:val="Zpat"/>
          <w:jc w:val="center"/>
        </w:pPr>
        <w:r w:rsidRPr="00582FCF">
          <w:rPr>
            <w:rFonts w:ascii="Arial" w:hAnsi="Arial" w:cs="Arial"/>
            <w:sz w:val="20"/>
          </w:rPr>
          <w:fldChar w:fldCharType="begin"/>
        </w:r>
        <w:r w:rsidR="00B02EC2" w:rsidRPr="00582FCF">
          <w:rPr>
            <w:rFonts w:ascii="Arial" w:hAnsi="Arial" w:cs="Arial"/>
            <w:sz w:val="20"/>
          </w:rPr>
          <w:instrText xml:space="preserve"> PAGE   \* MERGEFORMAT </w:instrText>
        </w:r>
        <w:r w:rsidRPr="00582FCF">
          <w:rPr>
            <w:rFonts w:ascii="Arial" w:hAnsi="Arial" w:cs="Arial"/>
            <w:sz w:val="20"/>
          </w:rPr>
          <w:fldChar w:fldCharType="separate"/>
        </w:r>
        <w:r w:rsidR="00CE14D7">
          <w:rPr>
            <w:rFonts w:ascii="Arial" w:hAnsi="Arial" w:cs="Arial"/>
            <w:noProof/>
            <w:sz w:val="20"/>
          </w:rPr>
          <w:t>1</w:t>
        </w:r>
        <w:r w:rsidRPr="00582FCF">
          <w:rPr>
            <w:rFonts w:ascii="Arial" w:hAnsi="Arial" w:cs="Arial"/>
            <w:sz w:val="20"/>
          </w:rPr>
          <w:fldChar w:fldCharType="end"/>
        </w:r>
      </w:p>
    </w:sdtContent>
  </w:sdt>
  <w:p w:rsidR="00B02EC2" w:rsidRDefault="00B02E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C2" w:rsidRDefault="00B02E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AB" w:rsidRDefault="009F62AB" w:rsidP="0083372E">
      <w:pPr>
        <w:spacing w:after="0" w:line="240" w:lineRule="auto"/>
      </w:pPr>
      <w:r>
        <w:separator/>
      </w:r>
    </w:p>
  </w:footnote>
  <w:footnote w:type="continuationSeparator" w:id="0">
    <w:p w:rsidR="009F62AB" w:rsidRDefault="009F62AB" w:rsidP="0083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C2" w:rsidRDefault="00B02E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C2" w:rsidRDefault="00B02EC2">
    <w:pPr>
      <w:pStyle w:val="Zhlav"/>
    </w:pPr>
    <w:r w:rsidRPr="00316F9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-240665</wp:posOffset>
          </wp:positionV>
          <wp:extent cx="1676400" cy="904875"/>
          <wp:effectExtent l="0" t="0" r="0" b="0"/>
          <wp:wrapNone/>
          <wp:docPr id="1" name="Picture 6" descr="KPMG_Plus_Strapline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MG_Plus_Strapline_Whit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4D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3223895</wp:posOffset>
              </wp:positionH>
              <wp:positionV relativeFrom="paragraph">
                <wp:posOffset>-57785</wp:posOffset>
              </wp:positionV>
              <wp:extent cx="3032125" cy="606425"/>
              <wp:effectExtent l="4445" t="0" r="190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12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EC2" w:rsidRPr="00455AD3" w:rsidRDefault="00B02EC2" w:rsidP="005A201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INFORMACE</w:t>
                          </w:r>
                          <w:r w:rsidRPr="00455AD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 xml:space="preserve"> PRO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MÉDIA</w:t>
                          </w:r>
                        </w:p>
                        <w:p w:rsidR="00B02EC2" w:rsidRPr="00C97D4B" w:rsidRDefault="00B02EC2" w:rsidP="005A2015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</w:pPr>
                          <w:r w:rsidRPr="00C97D4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>KPMG V ČESKÉ REPUBLICE</w:t>
                          </w:r>
                        </w:p>
                        <w:p w:rsidR="00B02EC2" w:rsidRPr="005A2015" w:rsidRDefault="00B02EC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3.85pt;margin-top:-4.55pt;width:238.7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dtAIAALk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" filled="f" stroked="f">
              <v:textbox>
                <w:txbxContent>
                  <w:p w:rsidR="00B02EC2" w:rsidRPr="00455AD3" w:rsidRDefault="00B02EC2" w:rsidP="005A2015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INFORMACE</w:t>
                    </w:r>
                    <w:r w:rsidRPr="00455AD3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 xml:space="preserve"> PRO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MÉDIA</w:t>
                    </w:r>
                  </w:p>
                  <w:p w:rsidR="00B02EC2" w:rsidRPr="00C97D4B" w:rsidRDefault="00B02EC2" w:rsidP="005A2015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</w:pPr>
                    <w:r w:rsidRPr="00C97D4B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>KPMG V ČESKÉ REPUBLICE</w:t>
                    </w:r>
                  </w:p>
                  <w:p w:rsidR="00B02EC2" w:rsidRPr="005A2015" w:rsidRDefault="00B02EC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-307340</wp:posOffset>
              </wp:positionV>
              <wp:extent cx="7200900" cy="1114425"/>
              <wp:effectExtent l="0" t="0" r="0" b="9525"/>
              <wp:wrapNone/>
              <wp:docPr id="8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gray">
                      <a:xfrm>
                        <a:off x="0" y="0"/>
                        <a:ext cx="6854825" cy="10652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4318" y="0"/>
                          </a:cxn>
                          <a:cxn ang="0">
                            <a:pos x="0" y="0"/>
                          </a:cxn>
                          <a:cxn ang="0">
                            <a:pos x="0" y="671"/>
                          </a:cxn>
                          <a:cxn ang="0">
                            <a:pos x="4122" y="671"/>
                          </a:cxn>
                          <a:cxn ang="0">
                            <a:pos x="4318" y="9"/>
                          </a:cxn>
                          <a:cxn ang="0">
                            <a:pos x="4318" y="0"/>
                          </a:cxn>
                        </a:cxnLst>
                        <a:rect l="0" t="0" r="r" b="b"/>
                        <a:pathLst>
                          <a:path w="4318" h="671">
                            <a:moveTo>
                              <a:pt x="4318" y="0"/>
                            </a:moveTo>
                            <a:lnTo>
                              <a:pt x="0" y="0"/>
                            </a:lnTo>
                            <a:lnTo>
                              <a:pt x="0" y="671"/>
                            </a:lnTo>
                            <a:lnTo>
                              <a:pt x="4122" y="671"/>
                            </a:lnTo>
                            <a:lnTo>
                              <a:pt x="4318" y="9"/>
                            </a:lnTo>
                            <a:lnTo>
                              <a:pt x="4318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257A">
                              <a:alpha val="90000"/>
                            </a:srgbClr>
                          </a:gs>
                          <a:gs pos="35000">
                            <a:srgbClr val="00338D">
                              <a:alpha val="90000"/>
                            </a:srgbClr>
                          </a:gs>
                          <a:gs pos="100000">
                            <a:srgbClr val="009FDA">
                              <a:alpha val="9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 cap="flat" cmpd="sng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Freeform 20" o:spid="_x0000_s1026" style="position:absolute;margin-left:-57.4pt;margin-top:-24.2pt;width:567pt;height:8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8,671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" path="m4318,l,,,671r4122,l4318,9r,-9xe" fillcolor="#00257a" stroked="f">
              <v:fill opacity="58982f" color2="#009fda" o:opacity2="58982f" rotate="t" angle="90" colors="0 #00257a;22938f #00338d;1 #009fda" focus="100%" type="gradient"/>
              <v:path arrowok="t" o:connecttype="custom" o:connectlocs="4318,0;0,0;0,671;4122,671;4318,9;4318,0" o:connectangles="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C2" w:rsidRDefault="00B02E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38CB"/>
    <w:multiLevelType w:val="hybridMultilevel"/>
    <w:tmpl w:val="B3E28A3A"/>
    <w:lvl w:ilvl="0" w:tplc="41C23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2E"/>
    <w:rsid w:val="00044A18"/>
    <w:rsid w:val="000D0F91"/>
    <w:rsid w:val="000F5EDE"/>
    <w:rsid w:val="00112BF2"/>
    <w:rsid w:val="001433C4"/>
    <w:rsid w:val="00147D88"/>
    <w:rsid w:val="001848C2"/>
    <w:rsid w:val="00193A96"/>
    <w:rsid w:val="00197A6B"/>
    <w:rsid w:val="001B7757"/>
    <w:rsid w:val="001C15D2"/>
    <w:rsid w:val="001C2DE9"/>
    <w:rsid w:val="001D25FC"/>
    <w:rsid w:val="001E02C0"/>
    <w:rsid w:val="00210AD8"/>
    <w:rsid w:val="002336C8"/>
    <w:rsid w:val="002427C4"/>
    <w:rsid w:val="00247A5A"/>
    <w:rsid w:val="002939FB"/>
    <w:rsid w:val="002C4337"/>
    <w:rsid w:val="00307E29"/>
    <w:rsid w:val="00316F97"/>
    <w:rsid w:val="00327810"/>
    <w:rsid w:val="00331F9E"/>
    <w:rsid w:val="00347D22"/>
    <w:rsid w:val="00350031"/>
    <w:rsid w:val="003925D1"/>
    <w:rsid w:val="003955F5"/>
    <w:rsid w:val="003B10ED"/>
    <w:rsid w:val="003B273C"/>
    <w:rsid w:val="003C729F"/>
    <w:rsid w:val="003D25C3"/>
    <w:rsid w:val="0040420E"/>
    <w:rsid w:val="00406CED"/>
    <w:rsid w:val="004322E9"/>
    <w:rsid w:val="00443C75"/>
    <w:rsid w:val="0044698A"/>
    <w:rsid w:val="004479A0"/>
    <w:rsid w:val="00455AD3"/>
    <w:rsid w:val="00471795"/>
    <w:rsid w:val="005131CC"/>
    <w:rsid w:val="00513ED3"/>
    <w:rsid w:val="00531539"/>
    <w:rsid w:val="00540463"/>
    <w:rsid w:val="0054537C"/>
    <w:rsid w:val="00574927"/>
    <w:rsid w:val="00582FCF"/>
    <w:rsid w:val="005A2015"/>
    <w:rsid w:val="005C7FD5"/>
    <w:rsid w:val="005F3A59"/>
    <w:rsid w:val="005F68BB"/>
    <w:rsid w:val="00607BEF"/>
    <w:rsid w:val="00613857"/>
    <w:rsid w:val="00622F5A"/>
    <w:rsid w:val="0065289A"/>
    <w:rsid w:val="006765C3"/>
    <w:rsid w:val="00684852"/>
    <w:rsid w:val="0068630A"/>
    <w:rsid w:val="006907AA"/>
    <w:rsid w:val="006C0C52"/>
    <w:rsid w:val="006E373A"/>
    <w:rsid w:val="007063DA"/>
    <w:rsid w:val="00712204"/>
    <w:rsid w:val="007163E3"/>
    <w:rsid w:val="00736278"/>
    <w:rsid w:val="00750235"/>
    <w:rsid w:val="00750D37"/>
    <w:rsid w:val="0076132D"/>
    <w:rsid w:val="00767696"/>
    <w:rsid w:val="00780FAD"/>
    <w:rsid w:val="0081782B"/>
    <w:rsid w:val="008265D0"/>
    <w:rsid w:val="0083055E"/>
    <w:rsid w:val="00832E64"/>
    <w:rsid w:val="0083372E"/>
    <w:rsid w:val="00866626"/>
    <w:rsid w:val="008A0D9A"/>
    <w:rsid w:val="008C570D"/>
    <w:rsid w:val="008F4C63"/>
    <w:rsid w:val="008F58F7"/>
    <w:rsid w:val="009020F7"/>
    <w:rsid w:val="00913302"/>
    <w:rsid w:val="009166D3"/>
    <w:rsid w:val="00935547"/>
    <w:rsid w:val="00986DBE"/>
    <w:rsid w:val="009E4EE8"/>
    <w:rsid w:val="009F62AB"/>
    <w:rsid w:val="00A23B6F"/>
    <w:rsid w:val="00A71CF8"/>
    <w:rsid w:val="00AA5326"/>
    <w:rsid w:val="00AB32F6"/>
    <w:rsid w:val="00AB4C9E"/>
    <w:rsid w:val="00AF4D4A"/>
    <w:rsid w:val="00B02EC2"/>
    <w:rsid w:val="00B548F6"/>
    <w:rsid w:val="00BC5698"/>
    <w:rsid w:val="00BD5B70"/>
    <w:rsid w:val="00BE7EA6"/>
    <w:rsid w:val="00C1494D"/>
    <w:rsid w:val="00C43289"/>
    <w:rsid w:val="00C74A0F"/>
    <w:rsid w:val="00C931C5"/>
    <w:rsid w:val="00C97D4B"/>
    <w:rsid w:val="00CA1DFF"/>
    <w:rsid w:val="00CA5463"/>
    <w:rsid w:val="00CC3207"/>
    <w:rsid w:val="00CE05AF"/>
    <w:rsid w:val="00CE14D7"/>
    <w:rsid w:val="00CE1B7F"/>
    <w:rsid w:val="00CE1D29"/>
    <w:rsid w:val="00CF1298"/>
    <w:rsid w:val="00D766A5"/>
    <w:rsid w:val="00D8588D"/>
    <w:rsid w:val="00D87051"/>
    <w:rsid w:val="00D9493C"/>
    <w:rsid w:val="00DA5D3B"/>
    <w:rsid w:val="00DC3166"/>
    <w:rsid w:val="00DD0CE8"/>
    <w:rsid w:val="00E03910"/>
    <w:rsid w:val="00E33ECB"/>
    <w:rsid w:val="00E42ECF"/>
    <w:rsid w:val="00EB7CA9"/>
    <w:rsid w:val="00EC6F85"/>
    <w:rsid w:val="00F05123"/>
    <w:rsid w:val="00F104E0"/>
    <w:rsid w:val="00F3700D"/>
    <w:rsid w:val="00F814B1"/>
    <w:rsid w:val="00FA3DF0"/>
    <w:rsid w:val="00FA4F07"/>
    <w:rsid w:val="00FC4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2C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2C0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2C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2C0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necna@kpmg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tivep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cie.neubergova@nativepr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pmg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Lucie Pokorna</cp:lastModifiedBy>
  <cp:revision>2</cp:revision>
  <cp:lastPrinted>2012-01-11T11:43:00Z</cp:lastPrinted>
  <dcterms:created xsi:type="dcterms:W3CDTF">2012-07-13T13:44:00Z</dcterms:created>
  <dcterms:modified xsi:type="dcterms:W3CDTF">2012-07-13T13:44:00Z</dcterms:modified>
</cp:coreProperties>
</file>