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96" w:rsidRPr="00C85C69" w:rsidRDefault="00193A96" w:rsidP="00193A96">
      <w:pPr>
        <w:jc w:val="center"/>
        <w:rPr>
          <w:rFonts w:ascii="Arial" w:hAnsi="Arial" w:cs="Arial"/>
        </w:rPr>
      </w:pPr>
      <w:bookmarkStart w:id="0" w:name="_GoBack"/>
      <w:bookmarkEnd w:id="0"/>
    </w:p>
    <w:p w:rsidR="00193A96" w:rsidRPr="001D25FC" w:rsidRDefault="001848C2" w:rsidP="001D25FC">
      <w:pPr>
        <w:spacing w:after="0"/>
        <w:jc w:val="right"/>
        <w:rPr>
          <w:rFonts w:ascii="Arial" w:hAnsi="Arial" w:cs="Arial"/>
        </w:rPr>
      </w:pPr>
      <w:r w:rsidRPr="00977CFD">
        <w:rPr>
          <w:rFonts w:ascii="Arial" w:hAnsi="Arial" w:cs="Arial"/>
        </w:rPr>
        <w:t>Pra</w:t>
      </w:r>
      <w:r w:rsidR="001D25FC" w:rsidRPr="00977CFD">
        <w:rPr>
          <w:rFonts w:ascii="Arial" w:hAnsi="Arial" w:cs="Arial"/>
        </w:rPr>
        <w:t>ha</w:t>
      </w:r>
      <w:r w:rsidRPr="00977CFD">
        <w:rPr>
          <w:rFonts w:ascii="Arial" w:hAnsi="Arial" w:cs="Arial"/>
        </w:rPr>
        <w:t xml:space="preserve"> </w:t>
      </w:r>
      <w:r w:rsidR="00977CFD" w:rsidRPr="00977CFD">
        <w:rPr>
          <w:rFonts w:ascii="Arial" w:hAnsi="Arial" w:cs="Arial"/>
        </w:rPr>
        <w:t>28. srpna</w:t>
      </w:r>
      <w:r w:rsidRPr="00977CFD">
        <w:rPr>
          <w:rFonts w:ascii="Arial" w:hAnsi="Arial" w:cs="Arial"/>
        </w:rPr>
        <w:t xml:space="preserve"> 2012</w:t>
      </w:r>
    </w:p>
    <w:p w:rsidR="00193A96" w:rsidRPr="00C85C69" w:rsidRDefault="00193A96" w:rsidP="001D25FC">
      <w:pPr>
        <w:spacing w:after="0"/>
        <w:rPr>
          <w:rFonts w:ascii="Arial" w:hAnsi="Arial" w:cs="Arial"/>
          <w:b/>
          <w:sz w:val="32"/>
          <w:szCs w:val="32"/>
        </w:rPr>
      </w:pPr>
    </w:p>
    <w:p w:rsidR="00193A96" w:rsidRDefault="002A6E53" w:rsidP="00574927">
      <w:pPr>
        <w:pStyle w:val="Nadpis1"/>
        <w:spacing w:before="0"/>
        <w:rPr>
          <w:rFonts w:ascii="Arial" w:hAnsi="Arial"/>
        </w:rPr>
      </w:pPr>
      <w:r>
        <w:rPr>
          <w:rFonts w:ascii="Arial" w:hAnsi="Arial"/>
        </w:rPr>
        <w:t>V</w:t>
      </w:r>
      <w:r w:rsidR="00790767">
        <w:rPr>
          <w:rFonts w:ascii="Arial" w:hAnsi="Arial"/>
        </w:rPr>
        <w:t>ýrob</w:t>
      </w:r>
      <w:r>
        <w:rPr>
          <w:rFonts w:ascii="Arial" w:hAnsi="Arial"/>
        </w:rPr>
        <w:t>ní sektor</w:t>
      </w:r>
      <w:r w:rsidR="00DF73C2">
        <w:rPr>
          <w:rFonts w:ascii="Arial" w:hAnsi="Arial"/>
        </w:rPr>
        <w:t xml:space="preserve"> začín</w:t>
      </w:r>
      <w:r>
        <w:rPr>
          <w:rFonts w:ascii="Arial" w:hAnsi="Arial"/>
        </w:rPr>
        <w:t>á</w:t>
      </w:r>
      <w:r w:rsidR="008F237B">
        <w:rPr>
          <w:rFonts w:ascii="Arial" w:hAnsi="Arial"/>
        </w:rPr>
        <w:t xml:space="preserve"> inovovat a očekáv</w:t>
      </w:r>
      <w:r>
        <w:rPr>
          <w:rFonts w:ascii="Arial" w:hAnsi="Arial"/>
        </w:rPr>
        <w:t>á</w:t>
      </w:r>
      <w:r w:rsidR="008F237B">
        <w:rPr>
          <w:rFonts w:ascii="Arial" w:hAnsi="Arial"/>
        </w:rPr>
        <w:t xml:space="preserve"> zisk</w:t>
      </w:r>
    </w:p>
    <w:p w:rsidR="00697BCB" w:rsidRPr="00697BCB" w:rsidRDefault="00697BCB" w:rsidP="00697BCB"/>
    <w:p w:rsidR="003C729F" w:rsidRDefault="00146064" w:rsidP="00697BCB">
      <w:pPr>
        <w:pStyle w:val="Odstavecseseznamem"/>
        <w:numPr>
          <w:ilvl w:val="0"/>
          <w:numId w:val="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Firmy se z</w:t>
      </w:r>
      <w:r w:rsidR="00697BCB">
        <w:rPr>
          <w:rFonts w:ascii="Arial" w:hAnsi="Arial" w:cs="Arial"/>
        </w:rPr>
        <w:t>aměřují</w:t>
      </w:r>
      <w:r w:rsidR="00DF73C2">
        <w:rPr>
          <w:rFonts w:ascii="Arial" w:hAnsi="Arial" w:cs="Arial"/>
        </w:rPr>
        <w:t xml:space="preserve"> </w:t>
      </w:r>
      <w:r w:rsidR="00697BCB">
        <w:rPr>
          <w:rFonts w:ascii="Arial" w:hAnsi="Arial" w:cs="Arial"/>
        </w:rPr>
        <w:t xml:space="preserve">na růst hrubého </w:t>
      </w:r>
      <w:r w:rsidR="002A6E53">
        <w:rPr>
          <w:rFonts w:ascii="Arial" w:hAnsi="Arial" w:cs="Arial"/>
        </w:rPr>
        <w:t>i</w:t>
      </w:r>
      <w:r w:rsidR="00697BCB">
        <w:rPr>
          <w:rFonts w:ascii="Arial" w:hAnsi="Arial" w:cs="Arial"/>
        </w:rPr>
        <w:t xml:space="preserve"> čistého zisku</w:t>
      </w:r>
    </w:p>
    <w:p w:rsidR="00697BCB" w:rsidRDefault="00697BCB" w:rsidP="00697BCB">
      <w:pPr>
        <w:pStyle w:val="Odstavecseseznamem"/>
        <w:numPr>
          <w:ilvl w:val="0"/>
          <w:numId w:val="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Motorem růstu se stanou inovace, poroste výzkum a vývoj</w:t>
      </w:r>
    </w:p>
    <w:p w:rsidR="00146064" w:rsidRDefault="00146064" w:rsidP="00697BCB">
      <w:pPr>
        <w:pStyle w:val="Odstavecseseznamem"/>
        <w:numPr>
          <w:ilvl w:val="0"/>
          <w:numId w:val="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Prohloubí se spolupráce s dodavateli a odběrateli</w:t>
      </w:r>
    </w:p>
    <w:p w:rsidR="00697BCB" w:rsidRPr="00697BCB" w:rsidRDefault="00697BCB" w:rsidP="00697BCB">
      <w:pPr>
        <w:pStyle w:val="Odstavecseseznamem"/>
        <w:spacing w:before="240" w:after="0"/>
        <w:rPr>
          <w:rFonts w:ascii="Arial" w:hAnsi="Arial" w:cs="Arial"/>
        </w:rPr>
      </w:pPr>
    </w:p>
    <w:p w:rsidR="005535C3" w:rsidRDefault="005535C3" w:rsidP="003925D1">
      <w:pPr>
        <w:pStyle w:val="Nadpis3"/>
        <w:spacing w:line="276" w:lineRule="auto"/>
        <w:rPr>
          <w:rFonts w:ascii="Arial" w:hAnsi="Arial" w:cs="Arial"/>
          <w:sz w:val="22"/>
        </w:rPr>
      </w:pPr>
    </w:p>
    <w:p w:rsidR="00193A96" w:rsidRPr="001A41B9" w:rsidRDefault="008F237B" w:rsidP="003925D1">
      <w:pPr>
        <w:pStyle w:val="Nadpis3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Podle aktuálního průzkumu </w:t>
      </w:r>
      <w:r w:rsidR="00DB42F3">
        <w:rPr>
          <w:rFonts w:ascii="Arial" w:hAnsi="Arial" w:cs="Arial"/>
          <w:sz w:val="22"/>
        </w:rPr>
        <w:t xml:space="preserve">celosvětové sítě poradenských společností KPMG </w:t>
      </w:r>
      <w:hyperlink r:id="rId9" w:history="1">
        <w:r w:rsidR="00756C87" w:rsidRPr="00307E53">
          <w:rPr>
            <w:rStyle w:val="Hypertextovodkaz"/>
            <w:rFonts w:ascii="Arial" w:hAnsi="Arial" w:cs="Arial"/>
            <w:i/>
            <w:sz w:val="22"/>
          </w:rPr>
          <w:t>Global Manufacturing Outlook</w:t>
        </w:r>
        <w:r w:rsidR="00756C87" w:rsidRPr="00307E53">
          <w:rPr>
            <w:rStyle w:val="Hypertextovodkaz"/>
            <w:rFonts w:ascii="Arial" w:hAnsi="Arial" w:cs="Arial"/>
            <w:sz w:val="22"/>
          </w:rPr>
          <w:t xml:space="preserve">: </w:t>
        </w:r>
        <w:r w:rsidR="00756C87" w:rsidRPr="00307E53">
          <w:rPr>
            <w:rStyle w:val="Hypertextovodkaz"/>
            <w:rFonts w:ascii="Arial" w:hAnsi="Arial" w:cs="Arial"/>
            <w:i/>
            <w:sz w:val="22"/>
          </w:rPr>
          <w:t>Fostering Growth through Innovation</w:t>
        </w:r>
      </w:hyperlink>
      <w:r w:rsidR="00756C87">
        <w:rPr>
          <w:rFonts w:ascii="Arial" w:hAnsi="Arial" w:cs="Arial"/>
          <w:i/>
          <w:sz w:val="22"/>
        </w:rPr>
        <w:t xml:space="preserve"> </w:t>
      </w:r>
      <w:r w:rsidR="00B05CFD">
        <w:rPr>
          <w:rFonts w:ascii="Arial" w:hAnsi="Arial" w:cs="Arial"/>
          <w:sz w:val="22"/>
        </w:rPr>
        <w:t>je prioritou výrobních firem růst tržeb i zisku.</w:t>
      </w:r>
      <w:r w:rsidR="005117E3">
        <w:rPr>
          <w:rFonts w:ascii="Arial" w:hAnsi="Arial" w:cs="Arial"/>
          <w:i/>
          <w:sz w:val="22"/>
        </w:rPr>
        <w:t xml:space="preserve"> </w:t>
      </w:r>
      <w:r w:rsidR="00453A01">
        <w:rPr>
          <w:rFonts w:ascii="Arial" w:hAnsi="Arial" w:cs="Arial"/>
          <w:sz w:val="22"/>
        </w:rPr>
        <w:t>40 </w:t>
      </w:r>
      <w:r w:rsidR="00D26244" w:rsidRPr="00D26244">
        <w:rPr>
          <w:rFonts w:ascii="Arial" w:hAnsi="Arial" w:cs="Arial"/>
          <w:sz w:val="22"/>
        </w:rPr>
        <w:t>procent respondentů předpokládá, že růst potáhn</w:t>
      </w:r>
      <w:r w:rsidR="002A6E53">
        <w:rPr>
          <w:rFonts w:ascii="Arial" w:hAnsi="Arial" w:cs="Arial"/>
          <w:sz w:val="22"/>
        </w:rPr>
        <w:t>ou</w:t>
      </w:r>
      <w:r w:rsidR="00D26244" w:rsidRPr="00D26244">
        <w:rPr>
          <w:rFonts w:ascii="Arial" w:hAnsi="Arial" w:cs="Arial"/>
          <w:sz w:val="22"/>
        </w:rPr>
        <w:t xml:space="preserve"> zejména USA následov</w:t>
      </w:r>
      <w:r w:rsidR="002A6E53">
        <w:rPr>
          <w:rFonts w:ascii="Arial" w:hAnsi="Arial" w:cs="Arial"/>
          <w:sz w:val="22"/>
        </w:rPr>
        <w:t>ané</w:t>
      </w:r>
      <w:r w:rsidR="00D26244" w:rsidRPr="00D26244">
        <w:rPr>
          <w:rFonts w:ascii="Arial" w:hAnsi="Arial" w:cs="Arial"/>
          <w:sz w:val="22"/>
        </w:rPr>
        <w:t xml:space="preserve"> Čínou, Indií, Brazílií a Německem.</w:t>
      </w:r>
      <w:r w:rsidR="004E4596">
        <w:rPr>
          <w:rFonts w:ascii="Arial" w:hAnsi="Arial" w:cs="Arial"/>
          <w:sz w:val="22"/>
        </w:rPr>
        <w:t xml:space="preserve"> Oproti loňským výsledkům se zdvojnásobil počet výrobců, kteří označili jako prioritu </w:t>
      </w:r>
      <w:r w:rsidR="00DD3AAC">
        <w:rPr>
          <w:rFonts w:ascii="Arial" w:hAnsi="Arial" w:cs="Arial"/>
          <w:sz w:val="22"/>
        </w:rPr>
        <w:t>růst hrubého</w:t>
      </w:r>
      <w:r w:rsidR="004E4596">
        <w:rPr>
          <w:rFonts w:ascii="Arial" w:hAnsi="Arial" w:cs="Arial"/>
          <w:sz w:val="22"/>
        </w:rPr>
        <w:t xml:space="preserve"> zisk</w:t>
      </w:r>
      <w:r w:rsidR="00DD3AAC">
        <w:rPr>
          <w:rFonts w:ascii="Arial" w:hAnsi="Arial" w:cs="Arial"/>
          <w:sz w:val="22"/>
        </w:rPr>
        <w:t>u</w:t>
      </w:r>
      <w:r w:rsidR="004E4596">
        <w:rPr>
          <w:rFonts w:ascii="Arial" w:hAnsi="Arial" w:cs="Arial"/>
          <w:sz w:val="22"/>
        </w:rPr>
        <w:t xml:space="preserve"> (43 procent). </w:t>
      </w:r>
    </w:p>
    <w:p w:rsidR="00193A96" w:rsidRPr="004479A0" w:rsidRDefault="00193A96" w:rsidP="002C4337">
      <w:pPr>
        <w:spacing w:after="0"/>
        <w:rPr>
          <w:rFonts w:ascii="Arial" w:hAnsi="Arial" w:cs="Arial"/>
        </w:rPr>
      </w:pPr>
    </w:p>
    <w:p w:rsidR="002A6E53" w:rsidRDefault="00F62DA9" w:rsidP="009D69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A6E5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ěkolik </w:t>
      </w:r>
      <w:r w:rsidR="002A6E53">
        <w:rPr>
          <w:rFonts w:ascii="Arial" w:hAnsi="Arial" w:cs="Arial"/>
        </w:rPr>
        <w:t xml:space="preserve">posledních </w:t>
      </w:r>
      <w:r>
        <w:rPr>
          <w:rFonts w:ascii="Arial" w:hAnsi="Arial" w:cs="Arial"/>
        </w:rPr>
        <w:t>let se výrobní společnosti zaměřovaly na snižování nákladů</w:t>
      </w:r>
      <w:r w:rsidR="002A6E53">
        <w:rPr>
          <w:rFonts w:ascii="Arial" w:hAnsi="Arial" w:cs="Arial"/>
        </w:rPr>
        <w:t>. Teď</w:t>
      </w:r>
      <w:r>
        <w:rPr>
          <w:rFonts w:ascii="Arial" w:hAnsi="Arial" w:cs="Arial"/>
        </w:rPr>
        <w:t xml:space="preserve"> si mnoho z nich uvědomuje, že mus</w:t>
      </w:r>
      <w:r w:rsidR="002A6E53">
        <w:rPr>
          <w:rFonts w:ascii="Arial" w:hAnsi="Arial" w:cs="Arial"/>
        </w:rPr>
        <w:t>ej</w:t>
      </w:r>
      <w:r>
        <w:rPr>
          <w:rFonts w:ascii="Arial" w:hAnsi="Arial" w:cs="Arial"/>
        </w:rPr>
        <w:t>í své náklady směřovat</w:t>
      </w:r>
      <w:r w:rsidR="00D12524">
        <w:rPr>
          <w:rFonts w:ascii="Arial" w:hAnsi="Arial" w:cs="Arial"/>
        </w:rPr>
        <w:t xml:space="preserve"> také do inovací produktů a služeb. Jedině tím s</w:t>
      </w:r>
      <w:r w:rsidR="00A04690">
        <w:rPr>
          <w:rFonts w:ascii="Arial" w:hAnsi="Arial" w:cs="Arial"/>
        </w:rPr>
        <w:t>i zachovají konkurenceschopnost</w:t>
      </w:r>
      <w:r w:rsidR="00DF73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“ </w:t>
      </w:r>
      <w:r w:rsidR="002A6E53">
        <w:rPr>
          <w:rFonts w:ascii="Arial" w:hAnsi="Arial" w:cs="Arial"/>
        </w:rPr>
        <w:t xml:space="preserve">uvádí </w:t>
      </w:r>
      <w:r w:rsidR="00402C0B" w:rsidRPr="00402C0B">
        <w:rPr>
          <w:rFonts w:ascii="Arial" w:hAnsi="Arial" w:cs="Arial"/>
          <w:b/>
        </w:rPr>
        <w:t xml:space="preserve">Jan Linhart, Partner, </w:t>
      </w:r>
      <w:hyperlink r:id="rId10" w:history="1">
        <w:r w:rsidR="002A6E53" w:rsidRPr="00CA234F">
          <w:rPr>
            <w:rStyle w:val="Hypertextovodkaz"/>
            <w:rFonts w:ascii="Arial" w:hAnsi="Arial" w:cs="Arial"/>
            <w:b/>
          </w:rPr>
          <w:t>služby pro výrobní a průmyslové podniky</w:t>
        </w:r>
      </w:hyperlink>
      <w:r w:rsidR="002A6E53">
        <w:rPr>
          <w:rFonts w:ascii="Arial" w:hAnsi="Arial" w:cs="Arial"/>
          <w:b/>
        </w:rPr>
        <w:t xml:space="preserve">, </w:t>
      </w:r>
      <w:r w:rsidR="00402C0B" w:rsidRPr="00402C0B">
        <w:rPr>
          <w:rFonts w:ascii="Arial" w:hAnsi="Arial" w:cs="Arial"/>
          <w:b/>
        </w:rPr>
        <w:t>KPMG Česká republika</w:t>
      </w:r>
      <w:r w:rsidR="00422C8D" w:rsidRPr="00422C8D">
        <w:rPr>
          <w:rFonts w:ascii="Arial" w:hAnsi="Arial" w:cs="Arial"/>
          <w:b/>
        </w:rPr>
        <w:t>.</w:t>
      </w:r>
    </w:p>
    <w:p w:rsidR="002A6E53" w:rsidRDefault="002A6E53" w:rsidP="009D69BA">
      <w:pPr>
        <w:spacing w:after="0" w:line="360" w:lineRule="auto"/>
        <w:rPr>
          <w:rFonts w:ascii="Arial" w:hAnsi="Arial" w:cs="Arial"/>
          <w:b/>
        </w:rPr>
      </w:pPr>
    </w:p>
    <w:p w:rsidR="00422112" w:rsidRDefault="00FC7710" w:rsidP="009D69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80EEC">
        <w:rPr>
          <w:rFonts w:ascii="Arial" w:hAnsi="Arial" w:cs="Arial"/>
        </w:rPr>
        <w:t xml:space="preserve">ýrobci </w:t>
      </w:r>
      <w:r>
        <w:rPr>
          <w:rFonts w:ascii="Arial" w:hAnsi="Arial" w:cs="Arial"/>
        </w:rPr>
        <w:t xml:space="preserve">i přes </w:t>
      </w:r>
      <w:r w:rsidR="004E4596">
        <w:rPr>
          <w:rFonts w:ascii="Arial" w:hAnsi="Arial" w:cs="Arial"/>
        </w:rPr>
        <w:t>nejistou</w:t>
      </w:r>
      <w:r>
        <w:rPr>
          <w:rFonts w:ascii="Arial" w:hAnsi="Arial" w:cs="Arial"/>
        </w:rPr>
        <w:t xml:space="preserve"> ekonomickou</w:t>
      </w:r>
      <w:r w:rsidR="00A80EEC">
        <w:rPr>
          <w:rFonts w:ascii="Arial" w:hAnsi="Arial" w:cs="Arial"/>
        </w:rPr>
        <w:t xml:space="preserve"> situaci </w:t>
      </w:r>
      <w:r w:rsidR="00402C0B">
        <w:rPr>
          <w:rFonts w:ascii="Arial" w:hAnsi="Arial" w:cs="Arial"/>
        </w:rPr>
        <w:t>během následujících 12 až 24 měsíců</w:t>
      </w:r>
      <w:r w:rsidR="00A80EEC">
        <w:rPr>
          <w:rFonts w:ascii="Arial" w:hAnsi="Arial" w:cs="Arial"/>
        </w:rPr>
        <w:t xml:space="preserve"> očekávají nárůst marží</w:t>
      </w:r>
      <w:r>
        <w:rPr>
          <w:rFonts w:ascii="Arial" w:hAnsi="Arial" w:cs="Arial"/>
        </w:rPr>
        <w:t>. T</w:t>
      </w:r>
      <w:r w:rsidR="00A80EEC">
        <w:rPr>
          <w:rFonts w:ascii="Arial" w:hAnsi="Arial" w:cs="Arial"/>
        </w:rPr>
        <w:t xml:space="preserve">ím </w:t>
      </w:r>
      <w:r w:rsidR="002A6E53">
        <w:rPr>
          <w:rFonts w:ascii="Arial" w:hAnsi="Arial" w:cs="Arial"/>
        </w:rPr>
        <w:t xml:space="preserve">podle </w:t>
      </w:r>
      <w:r w:rsidR="00B27AD9" w:rsidRPr="00B27AD9">
        <w:rPr>
          <w:rFonts w:ascii="Arial" w:hAnsi="Arial" w:cs="Arial"/>
          <w:b/>
        </w:rPr>
        <w:t>Jana Linharta</w:t>
      </w:r>
      <w:r w:rsidR="002A6E53">
        <w:rPr>
          <w:rFonts w:ascii="Arial" w:hAnsi="Arial" w:cs="Arial"/>
        </w:rPr>
        <w:t xml:space="preserve"> </w:t>
      </w:r>
      <w:r w:rsidR="00A80EEC">
        <w:rPr>
          <w:rFonts w:ascii="Arial" w:hAnsi="Arial" w:cs="Arial"/>
        </w:rPr>
        <w:t xml:space="preserve">odvážně dávají najevo, že </w:t>
      </w:r>
      <w:r w:rsidR="004E4596">
        <w:rPr>
          <w:rFonts w:ascii="Arial" w:hAnsi="Arial" w:cs="Arial"/>
        </w:rPr>
        <w:t>chtějí vše</w:t>
      </w:r>
      <w:r w:rsidR="00A80EEC">
        <w:rPr>
          <w:rFonts w:ascii="Arial" w:hAnsi="Arial" w:cs="Arial"/>
        </w:rPr>
        <w:t xml:space="preserve"> směřovat k</w:t>
      </w:r>
      <w:r>
        <w:rPr>
          <w:rFonts w:ascii="Arial" w:hAnsi="Arial" w:cs="Arial"/>
        </w:rPr>
        <w:t xml:space="preserve"> vyšším</w:t>
      </w:r>
      <w:r w:rsidR="00A80EEC">
        <w:rPr>
          <w:rFonts w:ascii="Arial" w:hAnsi="Arial" w:cs="Arial"/>
        </w:rPr>
        <w:t> ziskům.</w:t>
      </w:r>
    </w:p>
    <w:p w:rsidR="009D69BA" w:rsidRPr="009D69BA" w:rsidRDefault="009D69BA" w:rsidP="009D69BA">
      <w:pPr>
        <w:spacing w:after="0" w:line="360" w:lineRule="auto"/>
        <w:rPr>
          <w:rFonts w:ascii="Arial" w:hAnsi="Arial" w:cs="Arial"/>
        </w:rPr>
      </w:pPr>
    </w:p>
    <w:p w:rsidR="00422112" w:rsidRPr="00422112" w:rsidRDefault="005535C3" w:rsidP="00A0469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22112" w:rsidRPr="00422112">
        <w:rPr>
          <w:rFonts w:ascii="Arial" w:hAnsi="Arial" w:cs="Arial"/>
          <w:b/>
        </w:rPr>
        <w:t>čekává</w:t>
      </w:r>
      <w:r w:rsidR="004221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 </w:t>
      </w:r>
      <w:r w:rsidR="00DD3AAC">
        <w:rPr>
          <w:rFonts w:ascii="Arial" w:hAnsi="Arial" w:cs="Arial"/>
          <w:b/>
        </w:rPr>
        <w:t>zisk</w:t>
      </w:r>
    </w:p>
    <w:p w:rsidR="00DD3AAC" w:rsidRDefault="002A6E53" w:rsidP="00DD3AA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Přes </w:t>
      </w:r>
      <w:r w:rsidR="00DD3AAC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="00DD3AAC">
        <w:rPr>
          <w:rFonts w:ascii="Arial" w:hAnsi="Arial" w:cs="Arial"/>
        </w:rPr>
        <w:t xml:space="preserve"> procent</w:t>
      </w:r>
      <w:r w:rsidR="00422112">
        <w:rPr>
          <w:rFonts w:ascii="Arial" w:hAnsi="Arial" w:cs="Arial"/>
        </w:rPr>
        <w:t xml:space="preserve"> respondentů uvádí jako hlavní priority růst hrubého </w:t>
      </w:r>
      <w:r>
        <w:rPr>
          <w:rFonts w:ascii="Arial" w:hAnsi="Arial" w:cs="Arial"/>
        </w:rPr>
        <w:t xml:space="preserve">(43 procent) </w:t>
      </w:r>
      <w:r w:rsidR="00422112">
        <w:rPr>
          <w:rFonts w:ascii="Arial" w:hAnsi="Arial" w:cs="Arial"/>
        </w:rPr>
        <w:t>a čistého (41</w:t>
      </w:r>
      <w:r w:rsidR="00453A01">
        <w:rPr>
          <w:rFonts w:ascii="Arial" w:hAnsi="Arial" w:cs="Arial"/>
        </w:rPr>
        <w:t> </w:t>
      </w:r>
      <w:r w:rsidR="00422112">
        <w:rPr>
          <w:rFonts w:ascii="Arial" w:hAnsi="Arial" w:cs="Arial"/>
        </w:rPr>
        <w:t>procent)</w:t>
      </w:r>
      <w:r>
        <w:rPr>
          <w:rFonts w:ascii="Arial" w:hAnsi="Arial" w:cs="Arial"/>
        </w:rPr>
        <w:t xml:space="preserve"> zisku</w:t>
      </w:r>
      <w:r w:rsidR="00422112">
        <w:rPr>
          <w:rFonts w:ascii="Arial" w:hAnsi="Arial" w:cs="Arial"/>
        </w:rPr>
        <w:t>. Výrobci jsou přesvědčeni, že v nejbližší době dojde k nárůstu jejich aktivit</w:t>
      </w:r>
      <w:r w:rsidR="00DD3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DD3AAC">
        <w:rPr>
          <w:rFonts w:ascii="Arial" w:hAnsi="Arial" w:cs="Arial"/>
        </w:rPr>
        <w:t>ať už v oblasti inovací</w:t>
      </w:r>
      <w:r>
        <w:rPr>
          <w:rFonts w:ascii="Arial" w:hAnsi="Arial" w:cs="Arial"/>
        </w:rPr>
        <w:t>,</w:t>
      </w:r>
      <w:r w:rsidR="00DD3AAC">
        <w:rPr>
          <w:rFonts w:ascii="Arial" w:hAnsi="Arial" w:cs="Arial"/>
        </w:rPr>
        <w:t xml:space="preserve"> nebo výzkumu. Zároveň se však obávají zvýšených nákladů, které by </w:t>
      </w:r>
      <w:r w:rsidR="005535C3">
        <w:rPr>
          <w:rFonts w:ascii="Arial" w:hAnsi="Arial" w:cs="Arial"/>
        </w:rPr>
        <w:t>jejich společnosti</w:t>
      </w:r>
      <w:r w:rsidR="00DD3AAC">
        <w:rPr>
          <w:rFonts w:ascii="Arial" w:hAnsi="Arial" w:cs="Arial"/>
        </w:rPr>
        <w:t xml:space="preserve"> ještě více zatěžovaly.</w:t>
      </w:r>
      <w:r w:rsidR="00422112">
        <w:rPr>
          <w:rFonts w:ascii="Arial" w:hAnsi="Arial" w:cs="Arial"/>
        </w:rPr>
        <w:t xml:space="preserve"> Podobně jako v roce 2011</w:t>
      </w:r>
      <w:r w:rsidR="00ED0E60">
        <w:rPr>
          <w:rFonts w:ascii="Arial" w:hAnsi="Arial" w:cs="Arial"/>
        </w:rPr>
        <w:t xml:space="preserve"> vyvolá</w:t>
      </w:r>
      <w:r w:rsidR="00627079">
        <w:rPr>
          <w:rFonts w:ascii="Arial" w:hAnsi="Arial" w:cs="Arial"/>
        </w:rPr>
        <w:t>vá</w:t>
      </w:r>
      <w:r w:rsidR="00ED0E60">
        <w:rPr>
          <w:rFonts w:ascii="Arial" w:hAnsi="Arial" w:cs="Arial"/>
        </w:rPr>
        <w:t xml:space="preserve"> největší obavy </w:t>
      </w:r>
      <w:r w:rsidR="00DD3AAC">
        <w:rPr>
          <w:rFonts w:ascii="Arial" w:hAnsi="Arial" w:cs="Arial"/>
        </w:rPr>
        <w:t xml:space="preserve">kolísání cen vstupů. Výrobci proto </w:t>
      </w:r>
      <w:r>
        <w:rPr>
          <w:rFonts w:ascii="Arial" w:hAnsi="Arial" w:cs="Arial"/>
        </w:rPr>
        <w:t xml:space="preserve">za problematické </w:t>
      </w:r>
      <w:r w:rsidR="005535C3">
        <w:rPr>
          <w:rFonts w:ascii="Arial" w:hAnsi="Arial" w:cs="Arial"/>
        </w:rPr>
        <w:t xml:space="preserve">jevy, jež mohou ovlivnit budoucí vývoj sektoru, </w:t>
      </w:r>
      <w:r>
        <w:rPr>
          <w:rFonts w:ascii="Arial" w:hAnsi="Arial" w:cs="Arial"/>
        </w:rPr>
        <w:t>nadále považují</w:t>
      </w:r>
      <w:r w:rsidR="00DD3AAC">
        <w:rPr>
          <w:rFonts w:ascii="Arial" w:hAnsi="Arial" w:cs="Arial"/>
        </w:rPr>
        <w:t> cenov</w:t>
      </w:r>
      <w:r>
        <w:rPr>
          <w:rFonts w:ascii="Arial" w:hAnsi="Arial" w:cs="Arial"/>
        </w:rPr>
        <w:t>ou</w:t>
      </w:r>
      <w:r w:rsidR="00DD3AAC">
        <w:rPr>
          <w:rFonts w:ascii="Arial" w:hAnsi="Arial" w:cs="Arial"/>
        </w:rPr>
        <w:t xml:space="preserve"> volatilit</w:t>
      </w:r>
      <w:r>
        <w:rPr>
          <w:rFonts w:ascii="Arial" w:hAnsi="Arial" w:cs="Arial"/>
        </w:rPr>
        <w:t>u</w:t>
      </w:r>
      <w:r w:rsidR="00DD3AAC">
        <w:rPr>
          <w:rFonts w:ascii="Arial" w:hAnsi="Arial" w:cs="Arial"/>
        </w:rPr>
        <w:t xml:space="preserve"> u nákladových vstupů, rizik</w:t>
      </w:r>
      <w:r>
        <w:rPr>
          <w:rFonts w:ascii="Arial" w:hAnsi="Arial" w:cs="Arial"/>
        </w:rPr>
        <w:t>o</w:t>
      </w:r>
      <w:r w:rsidR="00DD3AAC">
        <w:rPr>
          <w:rFonts w:ascii="Arial" w:hAnsi="Arial" w:cs="Arial"/>
        </w:rPr>
        <w:t xml:space="preserve"> v dodavatelských řetězcích a nejist</w:t>
      </w:r>
      <w:r>
        <w:rPr>
          <w:rFonts w:ascii="Arial" w:hAnsi="Arial" w:cs="Arial"/>
        </w:rPr>
        <w:t>ou</w:t>
      </w:r>
      <w:r w:rsidR="00DD3AAC">
        <w:rPr>
          <w:rFonts w:ascii="Arial" w:hAnsi="Arial" w:cs="Arial"/>
        </w:rPr>
        <w:t xml:space="preserve"> poptáv</w:t>
      </w:r>
      <w:r w:rsidR="00A17D7C">
        <w:rPr>
          <w:rFonts w:ascii="Arial" w:hAnsi="Arial" w:cs="Arial"/>
        </w:rPr>
        <w:t>ku</w:t>
      </w:r>
      <w:r w:rsidR="00DD3AAC">
        <w:rPr>
          <w:rFonts w:ascii="Arial" w:hAnsi="Arial" w:cs="Arial"/>
        </w:rPr>
        <w:t>.</w:t>
      </w:r>
    </w:p>
    <w:p w:rsidR="00DD3AAC" w:rsidRDefault="00DD3AAC" w:rsidP="00A04690">
      <w:pPr>
        <w:spacing w:after="0" w:line="360" w:lineRule="auto"/>
        <w:rPr>
          <w:rFonts w:ascii="Arial" w:hAnsi="Arial" w:cs="Arial"/>
        </w:rPr>
      </w:pPr>
    </w:p>
    <w:p w:rsidR="00422112" w:rsidRDefault="00A17D7C" w:rsidP="00A0469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Prioritou pro </w:t>
      </w:r>
      <w:r w:rsidR="00DD3AAC">
        <w:rPr>
          <w:rFonts w:ascii="Arial" w:hAnsi="Arial" w:cs="Arial"/>
        </w:rPr>
        <w:t>62 procent respondentů</w:t>
      </w:r>
      <w:r w:rsidR="00ED0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zůstává</w:t>
      </w:r>
      <w:r w:rsidR="00ED0E60">
        <w:rPr>
          <w:rFonts w:ascii="Arial" w:hAnsi="Arial" w:cs="Arial"/>
        </w:rPr>
        <w:t> racionalizac</w:t>
      </w:r>
      <w:r>
        <w:rPr>
          <w:rFonts w:ascii="Arial" w:hAnsi="Arial" w:cs="Arial"/>
        </w:rPr>
        <w:t>e jejich</w:t>
      </w:r>
      <w:r w:rsidR="00ED0E60">
        <w:rPr>
          <w:rFonts w:ascii="Arial" w:hAnsi="Arial" w:cs="Arial"/>
        </w:rPr>
        <w:t xml:space="preserve"> provozů.</w:t>
      </w:r>
      <w:r w:rsidR="00DD3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Chtějí se zaměřit také na</w:t>
      </w:r>
      <w:r w:rsidR="00ED0E60">
        <w:rPr>
          <w:rFonts w:ascii="Arial" w:hAnsi="Arial" w:cs="Arial"/>
        </w:rPr>
        <w:t xml:space="preserve"> ukončení neziskových produktových </w:t>
      </w:r>
      <w:r w:rsidR="00DD3AAC">
        <w:rPr>
          <w:rFonts w:ascii="Arial" w:hAnsi="Arial" w:cs="Arial"/>
        </w:rPr>
        <w:t>řad a opuštění neziskových trhů, kde jsou ztráty největší.</w:t>
      </w:r>
    </w:p>
    <w:p w:rsidR="00A04690" w:rsidRDefault="00A04690" w:rsidP="009D69BA">
      <w:pPr>
        <w:spacing w:after="0" w:line="360" w:lineRule="auto"/>
        <w:rPr>
          <w:rFonts w:ascii="Arial" w:hAnsi="Arial" w:cs="Arial"/>
        </w:rPr>
      </w:pPr>
    </w:p>
    <w:p w:rsidR="00A827CD" w:rsidRDefault="00A827CD" w:rsidP="009D69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„Výrobci se tak snaží připravit na případné výkyvy ekonomiky, </w:t>
      </w:r>
      <w:r w:rsidR="002B00B1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 xml:space="preserve">především s ohledem na nejistotu, která na řadě trhů </w:t>
      </w:r>
      <w:r w:rsidR="002B00B1">
        <w:rPr>
          <w:rFonts w:ascii="Arial" w:hAnsi="Arial" w:cs="Arial"/>
        </w:rPr>
        <w:t xml:space="preserve">panuje </w:t>
      </w:r>
      <w:r>
        <w:rPr>
          <w:rFonts w:ascii="Arial" w:hAnsi="Arial" w:cs="Arial"/>
        </w:rPr>
        <w:t xml:space="preserve">už delší dobu. Ačkoliv cílem významné části výrobců je nárůst zisku, </w:t>
      </w:r>
      <w:r w:rsidR="002B00B1">
        <w:rPr>
          <w:rFonts w:ascii="Arial" w:hAnsi="Arial" w:cs="Arial"/>
        </w:rPr>
        <w:t xml:space="preserve">mnoho </w:t>
      </w:r>
      <w:r>
        <w:rPr>
          <w:rFonts w:ascii="Arial" w:hAnsi="Arial" w:cs="Arial"/>
        </w:rPr>
        <w:t>z nich tohoto cíle nemusí dosáhnout. Přijatá opatření jim však pomohou lépe překonat případné výkyvy na trhu</w:t>
      </w:r>
      <w:r w:rsidR="002B00B1">
        <w:rPr>
          <w:rFonts w:ascii="Arial" w:hAnsi="Arial" w:cs="Arial"/>
        </w:rPr>
        <w:t>,</w:t>
      </w:r>
      <w:r>
        <w:rPr>
          <w:rFonts w:ascii="Arial" w:hAnsi="Arial" w:cs="Arial"/>
        </w:rPr>
        <w:t>“</w:t>
      </w:r>
      <w:r w:rsidR="002B00B1">
        <w:rPr>
          <w:rFonts w:ascii="Arial" w:hAnsi="Arial" w:cs="Arial"/>
        </w:rPr>
        <w:t xml:space="preserve"> domnívá se </w:t>
      </w:r>
      <w:r w:rsidRPr="002B00B1">
        <w:rPr>
          <w:rFonts w:ascii="Arial" w:hAnsi="Arial" w:cs="Arial"/>
          <w:b/>
        </w:rPr>
        <w:t>Jan Linhart</w:t>
      </w:r>
      <w:r w:rsidR="002B00B1">
        <w:rPr>
          <w:rFonts w:ascii="Arial" w:hAnsi="Arial" w:cs="Arial"/>
        </w:rPr>
        <w:t>.</w:t>
      </w:r>
    </w:p>
    <w:p w:rsidR="00573200" w:rsidRDefault="00573200" w:rsidP="009D69BA">
      <w:pPr>
        <w:spacing w:after="0" w:line="360" w:lineRule="auto"/>
        <w:rPr>
          <w:rFonts w:ascii="Arial" w:hAnsi="Arial" w:cs="Arial"/>
        </w:rPr>
      </w:pPr>
    </w:p>
    <w:p w:rsidR="009D69BA" w:rsidRDefault="00A17D7C" w:rsidP="009D69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537D2" w:rsidRPr="00F537D2">
        <w:rPr>
          <w:rFonts w:ascii="Arial" w:hAnsi="Arial" w:cs="Arial"/>
          <w:b/>
        </w:rPr>
        <w:t>novovat a spolupracovat</w:t>
      </w:r>
    </w:p>
    <w:p w:rsidR="000F00E4" w:rsidRDefault="00A17D7C" w:rsidP="005732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Téměř tři čtvrtiny </w:t>
      </w:r>
      <w:r w:rsidR="00697BCB">
        <w:rPr>
          <w:rFonts w:ascii="Arial" w:hAnsi="Arial" w:cs="Arial"/>
        </w:rPr>
        <w:t>respo</w:t>
      </w:r>
      <w:r w:rsidR="009D69BA">
        <w:rPr>
          <w:rFonts w:ascii="Arial" w:hAnsi="Arial" w:cs="Arial"/>
        </w:rPr>
        <w:t>ndentů (72 procent) se domnív</w:t>
      </w:r>
      <w:r>
        <w:rPr>
          <w:rFonts w:ascii="Arial" w:hAnsi="Arial" w:cs="Arial"/>
        </w:rPr>
        <w:t>ají</w:t>
      </w:r>
      <w:r w:rsidR="00697BCB">
        <w:rPr>
          <w:rFonts w:ascii="Arial" w:hAnsi="Arial" w:cs="Arial"/>
        </w:rPr>
        <w:t xml:space="preserve">, že </w:t>
      </w:r>
      <w:r w:rsidR="00DD3AAC">
        <w:rPr>
          <w:rFonts w:ascii="Arial" w:hAnsi="Arial" w:cs="Arial"/>
        </w:rPr>
        <w:t>transformační procesy</w:t>
      </w:r>
      <w:r w:rsidR="00DD3AAC" w:rsidRPr="00DD3AAC">
        <w:rPr>
          <w:rFonts w:ascii="Arial" w:hAnsi="Arial" w:cs="Arial"/>
        </w:rPr>
        <w:t xml:space="preserve"> a změn</w:t>
      </w:r>
      <w:r w:rsidR="00DD3AAC">
        <w:rPr>
          <w:rFonts w:ascii="Arial" w:hAnsi="Arial" w:cs="Arial"/>
        </w:rPr>
        <w:t>y v </w:t>
      </w:r>
      <w:r>
        <w:rPr>
          <w:rFonts w:ascii="Arial" w:hAnsi="Arial" w:cs="Arial"/>
        </w:rPr>
        <w:t xml:space="preserve">jejich společnostech </w:t>
      </w:r>
      <w:r w:rsidR="00697BCB">
        <w:rPr>
          <w:rFonts w:ascii="Arial" w:hAnsi="Arial" w:cs="Arial"/>
        </w:rPr>
        <w:t>buď právě probíhají, nebo budou probíhat</w:t>
      </w:r>
      <w:r>
        <w:rPr>
          <w:rFonts w:ascii="Arial" w:hAnsi="Arial" w:cs="Arial"/>
        </w:rPr>
        <w:t xml:space="preserve"> v následujících dvou letech</w:t>
      </w:r>
      <w:r w:rsidR="00697B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Myslí si to</w:t>
      </w:r>
      <w:r w:rsidR="00697BCB">
        <w:rPr>
          <w:rFonts w:ascii="Arial" w:hAnsi="Arial" w:cs="Arial"/>
        </w:rPr>
        <w:t xml:space="preserve"> zejména </w:t>
      </w:r>
      <w:r>
        <w:rPr>
          <w:rFonts w:ascii="Arial" w:hAnsi="Arial" w:cs="Arial"/>
        </w:rPr>
        <w:t>výrobci</w:t>
      </w:r>
      <w:r w:rsidR="00697BCB">
        <w:rPr>
          <w:rFonts w:ascii="Arial" w:hAnsi="Arial" w:cs="Arial"/>
        </w:rPr>
        <w:t xml:space="preserve"> z USA (84 procent)</w:t>
      </w:r>
      <w:r w:rsidR="00D508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</w:t>
      </w:r>
      <w:r w:rsidR="00C37165">
        <w:rPr>
          <w:rFonts w:ascii="Arial" w:hAnsi="Arial" w:cs="Arial"/>
        </w:rPr>
        <w:t xml:space="preserve"> dosažen</w:t>
      </w:r>
      <w:r>
        <w:rPr>
          <w:rFonts w:ascii="Arial" w:hAnsi="Arial" w:cs="Arial"/>
        </w:rPr>
        <w:t>í</w:t>
      </w:r>
      <w:r w:rsidR="00DD3AAC">
        <w:rPr>
          <w:rFonts w:ascii="Arial" w:hAnsi="Arial" w:cs="Arial"/>
        </w:rPr>
        <w:t xml:space="preserve"> </w:t>
      </w:r>
      <w:r w:rsidR="007D0A9A">
        <w:rPr>
          <w:rFonts w:ascii="Arial" w:hAnsi="Arial" w:cs="Arial"/>
        </w:rPr>
        <w:t>vyšších</w:t>
      </w:r>
      <w:r w:rsidR="00DD3AAC">
        <w:rPr>
          <w:rFonts w:ascii="Arial" w:hAnsi="Arial" w:cs="Arial"/>
        </w:rPr>
        <w:t xml:space="preserve"> zisků</w:t>
      </w:r>
      <w:r w:rsidR="007D0A9A">
        <w:rPr>
          <w:rFonts w:ascii="Arial" w:hAnsi="Arial" w:cs="Arial"/>
        </w:rPr>
        <w:t xml:space="preserve"> než dosud</w:t>
      </w:r>
      <w:r w:rsidR="00DD3AAC">
        <w:rPr>
          <w:rFonts w:ascii="Arial" w:hAnsi="Arial" w:cs="Arial"/>
        </w:rPr>
        <w:t xml:space="preserve"> je zapotřebí </w:t>
      </w:r>
      <w:r w:rsidR="007D0A9A">
        <w:rPr>
          <w:rFonts w:ascii="Arial" w:hAnsi="Arial" w:cs="Arial"/>
        </w:rPr>
        <w:t>kombinova</w:t>
      </w:r>
      <w:r>
        <w:rPr>
          <w:rFonts w:ascii="Arial" w:hAnsi="Arial" w:cs="Arial"/>
        </w:rPr>
        <w:t>ný</w:t>
      </w:r>
      <w:r w:rsidR="007D0A9A">
        <w:rPr>
          <w:rFonts w:ascii="Arial" w:hAnsi="Arial" w:cs="Arial"/>
        </w:rPr>
        <w:t xml:space="preserve"> přístup k inovacím, proto se pozornost zaměřuje</w:t>
      </w:r>
      <w:r w:rsidR="00D5083A">
        <w:rPr>
          <w:rFonts w:ascii="Arial" w:hAnsi="Arial" w:cs="Arial"/>
        </w:rPr>
        <w:t xml:space="preserve"> hlavně na rozšíření a vylepšení produktové řady</w:t>
      </w:r>
      <w:r>
        <w:rPr>
          <w:rFonts w:ascii="Arial" w:hAnsi="Arial" w:cs="Arial"/>
        </w:rPr>
        <w:t xml:space="preserve"> a současné využití inovačního procesu ke</w:t>
      </w:r>
      <w:r w:rsidR="007D0A9A">
        <w:rPr>
          <w:rFonts w:ascii="Arial" w:hAnsi="Arial" w:cs="Arial"/>
        </w:rPr>
        <w:t xml:space="preserve"> snížení nákladů.</w:t>
      </w:r>
      <w:r w:rsidR="00D5083A">
        <w:rPr>
          <w:rFonts w:ascii="Arial" w:hAnsi="Arial" w:cs="Arial"/>
        </w:rPr>
        <w:t xml:space="preserve"> </w:t>
      </w:r>
    </w:p>
    <w:p w:rsidR="000F00E4" w:rsidRDefault="000F00E4" w:rsidP="00573200">
      <w:pPr>
        <w:spacing w:after="0" w:line="360" w:lineRule="auto"/>
        <w:rPr>
          <w:rFonts w:ascii="Arial" w:hAnsi="Arial" w:cs="Arial"/>
        </w:rPr>
      </w:pPr>
    </w:p>
    <w:p w:rsidR="00A17D7C" w:rsidRPr="00A17D7C" w:rsidRDefault="00A17D7C" w:rsidP="00A17D7C">
      <w:pPr>
        <w:spacing w:after="0" w:line="360" w:lineRule="auto"/>
        <w:rPr>
          <w:rFonts w:ascii="Arial" w:eastAsia="Calibri" w:hAnsi="Arial" w:cs="Arial"/>
        </w:rPr>
      </w:pPr>
      <w:r w:rsidRPr="00A17D7C">
        <w:rPr>
          <w:rFonts w:ascii="Arial" w:hAnsi="Arial" w:cs="Arial"/>
        </w:rPr>
        <w:t>Respondenti se jednoznačně shodli na potřebě silnější spolupráce s externími partnery, především dodavateli a zákazníky. 61 procent z nich se domnívá, že spolupráce a transparentnost v dodavatelském řetězci významně přispěje k zisku</w:t>
      </w:r>
      <w:r w:rsidR="005535C3">
        <w:rPr>
          <w:rFonts w:ascii="Arial" w:hAnsi="Arial" w:cs="Arial"/>
        </w:rPr>
        <w:t>,</w:t>
      </w:r>
      <w:r w:rsidRPr="00A17D7C">
        <w:rPr>
          <w:rFonts w:ascii="Arial" w:hAnsi="Arial" w:cs="Arial"/>
        </w:rPr>
        <w:t xml:space="preserve"> a chtějí proto více spolupracovat se zákazníky při vývoji produktů na míru a s dodavateli při návrhu produkt</w:t>
      </w:r>
      <w:r w:rsidR="005535C3">
        <w:rPr>
          <w:rFonts w:ascii="Arial" w:hAnsi="Arial" w:cs="Arial"/>
        </w:rPr>
        <w:t>ů</w:t>
      </w:r>
      <w:r w:rsidRPr="00A17D7C">
        <w:rPr>
          <w:rFonts w:ascii="Arial" w:hAnsi="Arial" w:cs="Arial"/>
        </w:rPr>
        <w:t>.</w:t>
      </w:r>
    </w:p>
    <w:p w:rsidR="00573200" w:rsidRPr="00573200" w:rsidRDefault="00573200" w:rsidP="00573200">
      <w:pPr>
        <w:spacing w:after="0" w:line="360" w:lineRule="auto"/>
        <w:rPr>
          <w:rFonts w:ascii="Arial" w:hAnsi="Arial" w:cs="Arial"/>
          <w:b/>
        </w:rPr>
      </w:pPr>
    </w:p>
    <w:p w:rsidR="00D12524" w:rsidRDefault="00D5083A" w:rsidP="007D0A9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„Tento komplexní přístup k inovacím řeší otázku snížení míry potenciálních rizik a nákladů. Výrobním společnostem navíc maximálně </w:t>
      </w:r>
      <w:r w:rsidR="007D0A9A">
        <w:rPr>
          <w:rFonts w:ascii="Arial" w:hAnsi="Arial" w:cs="Arial"/>
        </w:rPr>
        <w:t xml:space="preserve">otevírá </w:t>
      </w:r>
      <w:r w:rsidR="00A17D7C">
        <w:rPr>
          <w:rFonts w:ascii="Arial" w:hAnsi="Arial" w:cs="Arial"/>
        </w:rPr>
        <w:t xml:space="preserve">prostor pro </w:t>
      </w:r>
      <w:r w:rsidR="007D0A9A">
        <w:rPr>
          <w:rFonts w:ascii="Arial" w:hAnsi="Arial" w:cs="Arial"/>
        </w:rPr>
        <w:t>spolupráci s </w:t>
      </w:r>
      <w:r>
        <w:rPr>
          <w:rFonts w:ascii="Arial" w:hAnsi="Arial" w:cs="Arial"/>
        </w:rPr>
        <w:t>externí</w:t>
      </w:r>
      <w:r w:rsidR="007D0A9A">
        <w:rPr>
          <w:rFonts w:ascii="Arial" w:hAnsi="Arial" w:cs="Arial"/>
        </w:rPr>
        <w:t xml:space="preserve">mi partnery </w:t>
      </w:r>
      <w:r w:rsidR="00775B57">
        <w:rPr>
          <w:rFonts w:ascii="Arial" w:hAnsi="Arial" w:cs="Arial"/>
        </w:rPr>
        <w:t xml:space="preserve">a </w:t>
      </w:r>
      <w:r w:rsidR="007D0A9A">
        <w:rPr>
          <w:rFonts w:ascii="Arial" w:hAnsi="Arial" w:cs="Arial"/>
        </w:rPr>
        <w:t>současně zrychluje</w:t>
      </w:r>
      <w:r w:rsidR="009D69BA">
        <w:rPr>
          <w:rFonts w:ascii="Arial" w:hAnsi="Arial" w:cs="Arial"/>
        </w:rPr>
        <w:t xml:space="preserve"> uvedení produktu nebo </w:t>
      </w:r>
      <w:r w:rsidR="00775B57">
        <w:rPr>
          <w:rFonts w:ascii="Arial" w:hAnsi="Arial" w:cs="Arial"/>
        </w:rPr>
        <w:t xml:space="preserve">služby na trh,“ </w:t>
      </w:r>
      <w:r w:rsidR="00A17D7C">
        <w:rPr>
          <w:rFonts w:ascii="Arial" w:hAnsi="Arial" w:cs="Arial"/>
        </w:rPr>
        <w:t xml:space="preserve">komentuje tento trend </w:t>
      </w:r>
      <w:r w:rsidR="00775B57" w:rsidRPr="00775B57">
        <w:rPr>
          <w:rFonts w:ascii="Arial" w:hAnsi="Arial" w:cs="Arial"/>
          <w:b/>
        </w:rPr>
        <w:t>Jan Linhart.</w:t>
      </w:r>
    </w:p>
    <w:p w:rsidR="007D0A9A" w:rsidRDefault="007D0A9A" w:rsidP="007D0A9A">
      <w:pPr>
        <w:spacing w:after="0" w:line="360" w:lineRule="auto"/>
        <w:rPr>
          <w:rFonts w:ascii="Arial" w:hAnsi="Arial" w:cs="Arial"/>
          <w:b/>
        </w:rPr>
      </w:pPr>
    </w:p>
    <w:p w:rsidR="00775B57" w:rsidRPr="00775B57" w:rsidRDefault="00775B57" w:rsidP="007D0A9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plánu</w:t>
      </w:r>
      <w:r w:rsidR="005535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</w:t>
      </w:r>
      <w:r w:rsidR="005535C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r</w:t>
      </w:r>
      <w:r w:rsidRPr="00775B57">
        <w:rPr>
          <w:rFonts w:ascii="Arial" w:hAnsi="Arial" w:cs="Arial"/>
          <w:b/>
        </w:rPr>
        <w:t>eorganizac</w:t>
      </w:r>
      <w:r w:rsidR="005535C3">
        <w:rPr>
          <w:rFonts w:ascii="Arial" w:hAnsi="Arial" w:cs="Arial"/>
          <w:b/>
        </w:rPr>
        <w:t>e</w:t>
      </w:r>
      <w:r w:rsidRPr="00775B57">
        <w:rPr>
          <w:rFonts w:ascii="Arial" w:hAnsi="Arial" w:cs="Arial"/>
          <w:b/>
        </w:rPr>
        <w:t xml:space="preserve"> dodavatelsk</w:t>
      </w:r>
      <w:r>
        <w:rPr>
          <w:rFonts w:ascii="Arial" w:hAnsi="Arial" w:cs="Arial"/>
          <w:b/>
        </w:rPr>
        <w:t xml:space="preserve">ých </w:t>
      </w:r>
      <w:r w:rsidRPr="00775B57">
        <w:rPr>
          <w:rFonts w:ascii="Arial" w:hAnsi="Arial" w:cs="Arial"/>
          <w:b/>
        </w:rPr>
        <w:t>řetězc</w:t>
      </w:r>
      <w:r>
        <w:rPr>
          <w:rFonts w:ascii="Arial" w:hAnsi="Arial" w:cs="Arial"/>
          <w:b/>
        </w:rPr>
        <w:t>ů</w:t>
      </w:r>
    </w:p>
    <w:p w:rsidR="00C87069" w:rsidRDefault="00A17D7C" w:rsidP="007D0A9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5B57" w:rsidRPr="00775B57">
        <w:rPr>
          <w:rFonts w:ascii="Arial" w:hAnsi="Arial" w:cs="Arial"/>
        </w:rPr>
        <w:t xml:space="preserve">polupráce má dopad také na obchodní modely výrobních společností, které se </w:t>
      </w:r>
      <w:r w:rsidR="009D69BA">
        <w:rPr>
          <w:rFonts w:ascii="Arial" w:hAnsi="Arial" w:cs="Arial"/>
        </w:rPr>
        <w:t xml:space="preserve">ve </w:t>
      </w:r>
      <w:r w:rsidR="00775B57" w:rsidRPr="00775B57">
        <w:rPr>
          <w:rFonts w:ascii="Arial" w:hAnsi="Arial" w:cs="Arial"/>
        </w:rPr>
        <w:t xml:space="preserve">větší míře začínají orientovat na služby. </w:t>
      </w:r>
      <w:r w:rsidR="00775B57">
        <w:rPr>
          <w:rFonts w:ascii="Arial" w:hAnsi="Arial" w:cs="Arial"/>
        </w:rPr>
        <w:t>Výr</w:t>
      </w:r>
      <w:r w:rsidR="00DF73C2">
        <w:rPr>
          <w:rFonts w:ascii="Arial" w:hAnsi="Arial" w:cs="Arial"/>
        </w:rPr>
        <w:t>obc</w:t>
      </w:r>
      <w:r w:rsidR="00775B57">
        <w:rPr>
          <w:rFonts w:ascii="Arial" w:hAnsi="Arial" w:cs="Arial"/>
        </w:rPr>
        <w:t xml:space="preserve">ům se tak </w:t>
      </w:r>
      <w:r w:rsidR="000F00E4">
        <w:rPr>
          <w:rFonts w:ascii="Arial" w:hAnsi="Arial" w:cs="Arial"/>
        </w:rPr>
        <w:t>nabízí</w:t>
      </w:r>
      <w:r w:rsidR="00775B57">
        <w:rPr>
          <w:rFonts w:ascii="Arial" w:hAnsi="Arial" w:cs="Arial"/>
        </w:rPr>
        <w:t xml:space="preserve"> nové způsoby, jak dosáhnout konkurenční výhody</w:t>
      </w:r>
      <w:r w:rsidR="00C87069">
        <w:rPr>
          <w:rFonts w:ascii="Arial" w:hAnsi="Arial" w:cs="Arial"/>
        </w:rPr>
        <w:t>. Jedná se např</w:t>
      </w:r>
      <w:r w:rsidR="009D69BA">
        <w:rPr>
          <w:rFonts w:ascii="Arial" w:hAnsi="Arial" w:cs="Arial"/>
        </w:rPr>
        <w:t xml:space="preserve">íklad o </w:t>
      </w:r>
      <w:r w:rsidR="00A827CD">
        <w:rPr>
          <w:rFonts w:ascii="Arial" w:hAnsi="Arial" w:cs="Arial"/>
        </w:rPr>
        <w:t xml:space="preserve">uzavírání </w:t>
      </w:r>
      <w:r w:rsidR="009D69BA">
        <w:rPr>
          <w:rFonts w:ascii="Arial" w:hAnsi="Arial" w:cs="Arial"/>
        </w:rPr>
        <w:t>smluv o výv</w:t>
      </w:r>
      <w:r w:rsidR="00C87069">
        <w:rPr>
          <w:rFonts w:ascii="Arial" w:hAnsi="Arial" w:cs="Arial"/>
        </w:rPr>
        <w:t>oji a údržbě či jin</w:t>
      </w:r>
      <w:r>
        <w:rPr>
          <w:rFonts w:ascii="Arial" w:hAnsi="Arial" w:cs="Arial"/>
        </w:rPr>
        <w:t>é</w:t>
      </w:r>
      <w:r w:rsidR="00C87069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y</w:t>
      </w:r>
      <w:r w:rsidR="00C87069">
        <w:rPr>
          <w:rFonts w:ascii="Arial" w:hAnsi="Arial" w:cs="Arial"/>
        </w:rPr>
        <w:t xml:space="preserve"> spolupráce. </w:t>
      </w:r>
    </w:p>
    <w:p w:rsidR="000B0A5E" w:rsidRDefault="000B0A5E" w:rsidP="009D69BA">
      <w:pPr>
        <w:spacing w:after="0" w:line="360" w:lineRule="auto"/>
        <w:rPr>
          <w:rFonts w:ascii="Arial" w:hAnsi="Arial" w:cs="Arial"/>
        </w:rPr>
      </w:pPr>
    </w:p>
    <w:p w:rsidR="00C87069" w:rsidRDefault="00C87069" w:rsidP="00775B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17D7C">
        <w:rPr>
          <w:rFonts w:ascii="Arial" w:hAnsi="Arial" w:cs="Arial"/>
        </w:rPr>
        <w:t>Častý</w:t>
      </w:r>
      <w:r>
        <w:rPr>
          <w:rFonts w:ascii="Arial" w:hAnsi="Arial" w:cs="Arial"/>
        </w:rPr>
        <w:t xml:space="preserve"> je přesun výrobních závodů</w:t>
      </w:r>
      <w:r w:rsidR="002B00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A827CD">
        <w:rPr>
          <w:rFonts w:ascii="Arial" w:hAnsi="Arial" w:cs="Arial"/>
        </w:rPr>
        <w:t xml:space="preserve">dokonce i </w:t>
      </w:r>
      <w:r>
        <w:rPr>
          <w:rFonts w:ascii="Arial" w:hAnsi="Arial" w:cs="Arial"/>
        </w:rPr>
        <w:t xml:space="preserve">dodavatelských řetězců blíže </w:t>
      </w:r>
      <w:r w:rsidR="007D0A9A">
        <w:rPr>
          <w:rFonts w:ascii="Arial" w:hAnsi="Arial" w:cs="Arial"/>
        </w:rPr>
        <w:t xml:space="preserve">ke </w:t>
      </w:r>
      <w:r>
        <w:rPr>
          <w:rFonts w:ascii="Arial" w:hAnsi="Arial" w:cs="Arial"/>
        </w:rPr>
        <w:t>koncovým trhům</w:t>
      </w:r>
      <w:r w:rsidR="00A17D7C">
        <w:rPr>
          <w:rFonts w:ascii="Arial" w:hAnsi="Arial" w:cs="Arial"/>
        </w:rPr>
        <w:t xml:space="preserve">, </w:t>
      </w:r>
      <w:r w:rsidR="00A827CD">
        <w:rPr>
          <w:rFonts w:ascii="Arial" w:hAnsi="Arial" w:cs="Arial"/>
        </w:rPr>
        <w:t xml:space="preserve">především s cílem </w:t>
      </w:r>
      <w:r>
        <w:rPr>
          <w:rFonts w:ascii="Arial" w:hAnsi="Arial" w:cs="Arial"/>
        </w:rPr>
        <w:t>efektivněji ří</w:t>
      </w:r>
      <w:r w:rsidR="00A17D7C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náklad</w:t>
      </w:r>
      <w:r w:rsidR="00A17D7C">
        <w:rPr>
          <w:rFonts w:ascii="Arial" w:hAnsi="Arial" w:cs="Arial"/>
        </w:rPr>
        <w:t>y</w:t>
      </w:r>
      <w:r>
        <w:rPr>
          <w:rFonts w:ascii="Arial" w:hAnsi="Arial" w:cs="Arial"/>
        </w:rPr>
        <w:t>. Velkou výhod</w:t>
      </w:r>
      <w:r w:rsidR="009868D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 je i schopnost rychleji, pružněji a přesněji </w:t>
      </w:r>
      <w:r w:rsidR="009868D6">
        <w:rPr>
          <w:rFonts w:ascii="Arial" w:hAnsi="Arial" w:cs="Arial"/>
        </w:rPr>
        <w:t>reagovat a</w:t>
      </w:r>
      <w:r>
        <w:rPr>
          <w:rFonts w:ascii="Arial" w:hAnsi="Arial" w:cs="Arial"/>
        </w:rPr>
        <w:t xml:space="preserve"> přizpůsob</w:t>
      </w:r>
      <w:r w:rsidR="009868D6">
        <w:rPr>
          <w:rFonts w:ascii="Arial" w:hAnsi="Arial" w:cs="Arial"/>
        </w:rPr>
        <w:t>ovat</w:t>
      </w:r>
      <w:r>
        <w:rPr>
          <w:rFonts w:ascii="Arial" w:hAnsi="Arial" w:cs="Arial"/>
        </w:rPr>
        <w:t xml:space="preserve"> produktov</w:t>
      </w:r>
      <w:r w:rsidR="009868D6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nabídk</w:t>
      </w:r>
      <w:r w:rsidR="009868D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,“ vysvětluje </w:t>
      </w:r>
      <w:r w:rsidRPr="00C87069">
        <w:rPr>
          <w:rFonts w:ascii="Arial" w:hAnsi="Arial" w:cs="Arial"/>
          <w:b/>
        </w:rPr>
        <w:t xml:space="preserve">Jan Linhart. </w:t>
      </w:r>
    </w:p>
    <w:p w:rsidR="00775B57" w:rsidRPr="00775B57" w:rsidRDefault="00654D9D" w:rsidP="009D69BA">
      <w:pPr>
        <w:spacing w:after="0" w:line="360" w:lineRule="auto"/>
        <w:rPr>
          <w:rFonts w:ascii="Arial" w:hAnsi="Arial" w:cs="Arial"/>
        </w:rPr>
      </w:pPr>
      <w:r w:rsidRPr="00E04B42">
        <w:rPr>
          <w:rFonts w:ascii="Arial" w:hAnsi="Arial" w:cs="Arial"/>
        </w:rPr>
        <w:t xml:space="preserve">Téměř dvě třetiny (63 procent) respondentů předpovídají, že </w:t>
      </w:r>
      <w:r w:rsidR="00B05CFD" w:rsidRPr="00E04B42">
        <w:rPr>
          <w:rFonts w:ascii="Arial" w:hAnsi="Arial" w:cs="Arial"/>
        </w:rPr>
        <w:t xml:space="preserve">nové nebo </w:t>
      </w:r>
      <w:r w:rsidRPr="00E04B42">
        <w:rPr>
          <w:rFonts w:ascii="Arial" w:hAnsi="Arial" w:cs="Arial"/>
        </w:rPr>
        <w:t xml:space="preserve">vylepšené </w:t>
      </w:r>
      <w:r w:rsidR="00B05CFD" w:rsidRPr="00E04B42">
        <w:rPr>
          <w:rFonts w:ascii="Arial" w:hAnsi="Arial" w:cs="Arial"/>
        </w:rPr>
        <w:t xml:space="preserve">zákaznické </w:t>
      </w:r>
      <w:r w:rsidRPr="00E04B42">
        <w:rPr>
          <w:rFonts w:ascii="Arial" w:hAnsi="Arial" w:cs="Arial"/>
        </w:rPr>
        <w:t>služby významně přispějí k větším ziskům. Do těchto plánů může ještě promluvit stav ekonomiky na lokálních trzích. Vytváření nových nebo inovovaných služeb s</w:t>
      </w:r>
      <w:r w:rsidR="00B05CFD" w:rsidRPr="00E04B42">
        <w:rPr>
          <w:rFonts w:ascii="Arial" w:hAnsi="Arial" w:cs="Arial"/>
        </w:rPr>
        <w:t xml:space="preserve"> vyšší </w:t>
      </w:r>
      <w:r w:rsidRPr="00E04B42">
        <w:rPr>
          <w:rFonts w:ascii="Arial" w:hAnsi="Arial" w:cs="Arial"/>
        </w:rPr>
        <w:t>přidanou hodnotou nicméně představuje relativně levný a bezrizikový způsob, jak rozšířit nabídku a dosáhnout požadovaných cílů.</w:t>
      </w:r>
      <w:r w:rsidR="00C87069">
        <w:rPr>
          <w:rFonts w:ascii="Arial" w:hAnsi="Arial" w:cs="Arial"/>
        </w:rPr>
        <w:t xml:space="preserve"> </w:t>
      </w:r>
    </w:p>
    <w:p w:rsidR="004E4596" w:rsidRDefault="004E4596">
      <w:pPr>
        <w:spacing w:after="0" w:line="360" w:lineRule="auto"/>
        <w:rPr>
          <w:rFonts w:ascii="Arial" w:hAnsi="Arial" w:cs="Arial"/>
          <w:b/>
        </w:rPr>
      </w:pPr>
    </w:p>
    <w:p w:rsidR="005535C3" w:rsidRDefault="005535C3" w:rsidP="009D69BA">
      <w:pPr>
        <w:spacing w:after="0"/>
        <w:rPr>
          <w:rFonts w:ascii="Arial" w:hAnsi="Arial" w:cs="Arial"/>
          <w:b/>
        </w:rPr>
      </w:pPr>
    </w:p>
    <w:p w:rsidR="00193A96" w:rsidRPr="00756C87" w:rsidRDefault="00756C87" w:rsidP="009D69BA">
      <w:pPr>
        <w:spacing w:after="0"/>
        <w:rPr>
          <w:rFonts w:ascii="Arial" w:hAnsi="Arial" w:cs="Arial"/>
          <w:b/>
        </w:rPr>
      </w:pPr>
      <w:r w:rsidRPr="00756C87">
        <w:rPr>
          <w:rFonts w:ascii="Arial" w:hAnsi="Arial" w:cs="Arial"/>
          <w:b/>
        </w:rPr>
        <w:t>O průzkumu</w:t>
      </w:r>
    </w:p>
    <w:p w:rsidR="00756C87" w:rsidRPr="00C85C69" w:rsidRDefault="00756C87" w:rsidP="009D69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Průzkum KPMG </w:t>
      </w:r>
      <w:hyperlink r:id="rId11" w:history="1">
        <w:r w:rsidRPr="00307E53">
          <w:rPr>
            <w:rStyle w:val="Hypertextovodkaz"/>
            <w:rFonts w:ascii="Arial" w:hAnsi="Arial" w:cs="Arial"/>
            <w:i/>
          </w:rPr>
          <w:t>Global Manufacturing Outlook</w:t>
        </w:r>
        <w:r w:rsidRPr="00307E53">
          <w:rPr>
            <w:rStyle w:val="Hypertextovodkaz"/>
            <w:rFonts w:ascii="Arial" w:hAnsi="Arial" w:cs="Arial"/>
          </w:rPr>
          <w:t xml:space="preserve">: </w:t>
        </w:r>
        <w:r w:rsidRPr="00307E53">
          <w:rPr>
            <w:rStyle w:val="Hypertextovodkaz"/>
            <w:rFonts w:ascii="Arial" w:hAnsi="Arial" w:cs="Arial"/>
            <w:i/>
          </w:rPr>
          <w:t>Fostering Growth through Innovation</w:t>
        </w:r>
      </w:hyperlink>
      <w:r>
        <w:rPr>
          <w:rFonts w:ascii="Arial" w:hAnsi="Arial" w:cs="Arial"/>
          <w:i/>
        </w:rPr>
        <w:t xml:space="preserve"> </w:t>
      </w:r>
      <w:r w:rsidRPr="00756C87">
        <w:rPr>
          <w:rFonts w:ascii="Arial" w:hAnsi="Arial" w:cs="Arial"/>
        </w:rPr>
        <w:t xml:space="preserve">proběhl v únoru letošního roku. </w:t>
      </w:r>
      <w:r>
        <w:rPr>
          <w:rFonts w:ascii="Arial" w:hAnsi="Arial" w:cs="Arial"/>
        </w:rPr>
        <w:t>Z</w:t>
      </w:r>
      <w:r w:rsidRPr="00756C87">
        <w:rPr>
          <w:rFonts w:ascii="Arial" w:hAnsi="Arial" w:cs="Arial"/>
        </w:rPr>
        <w:t>účastnilo se ho 241 představitelů výrobních společností</w:t>
      </w:r>
      <w:r w:rsidR="009868D6">
        <w:rPr>
          <w:rFonts w:ascii="Arial" w:hAnsi="Arial" w:cs="Arial"/>
        </w:rPr>
        <w:t xml:space="preserve"> z celého světa</w:t>
      </w:r>
      <w:r w:rsidR="005535C3">
        <w:rPr>
          <w:rFonts w:ascii="Arial" w:hAnsi="Arial" w:cs="Arial"/>
        </w:rPr>
        <w:t xml:space="preserve"> (29 procent západní Evropa, 23 procent Severní Amerika, 28 procent region </w:t>
      </w:r>
      <w:r w:rsidR="005535C3" w:rsidRPr="00DF73C2">
        <w:rPr>
          <w:rFonts w:ascii="Arial" w:hAnsi="Arial" w:cs="Arial"/>
        </w:rPr>
        <w:t>Asi</w:t>
      </w:r>
      <w:r w:rsidR="005535C3">
        <w:rPr>
          <w:rFonts w:ascii="Arial" w:hAnsi="Arial" w:cs="Arial"/>
        </w:rPr>
        <w:t>e a P</w:t>
      </w:r>
      <w:r w:rsidR="005535C3" w:rsidRPr="00DF73C2">
        <w:rPr>
          <w:rFonts w:ascii="Arial" w:hAnsi="Arial" w:cs="Arial"/>
        </w:rPr>
        <w:t xml:space="preserve">acifiku, </w:t>
      </w:r>
      <w:r w:rsidR="005535C3">
        <w:rPr>
          <w:rFonts w:ascii="Arial" w:hAnsi="Arial" w:cs="Arial"/>
        </w:rPr>
        <w:t> 10</w:t>
      </w:r>
      <w:r w:rsidR="005535C3" w:rsidRPr="00DF73C2">
        <w:rPr>
          <w:rFonts w:ascii="Arial" w:hAnsi="Arial" w:cs="Arial"/>
        </w:rPr>
        <w:t xml:space="preserve"> procent Blízký východ a </w:t>
      </w:r>
      <w:r w:rsidR="005535C3">
        <w:rPr>
          <w:rFonts w:ascii="Arial" w:hAnsi="Arial" w:cs="Arial"/>
        </w:rPr>
        <w:t>10</w:t>
      </w:r>
      <w:r w:rsidR="005535C3" w:rsidRPr="00DF73C2">
        <w:rPr>
          <w:rFonts w:ascii="Arial" w:hAnsi="Arial" w:cs="Arial"/>
        </w:rPr>
        <w:t xml:space="preserve"> procent Latinsk</w:t>
      </w:r>
      <w:r w:rsidR="005535C3">
        <w:rPr>
          <w:rFonts w:ascii="Arial" w:hAnsi="Arial" w:cs="Arial"/>
        </w:rPr>
        <w:t>á</w:t>
      </w:r>
      <w:r w:rsidR="005535C3" w:rsidRPr="00DF73C2">
        <w:rPr>
          <w:rFonts w:ascii="Arial" w:hAnsi="Arial" w:cs="Arial"/>
        </w:rPr>
        <w:t xml:space="preserve"> Amerik</w:t>
      </w:r>
      <w:r w:rsidR="005535C3">
        <w:rPr>
          <w:rFonts w:ascii="Arial" w:hAnsi="Arial" w:cs="Arial"/>
        </w:rPr>
        <w:t>a)</w:t>
      </w:r>
      <w:r w:rsidRPr="00756C87">
        <w:rPr>
          <w:rFonts w:ascii="Arial" w:hAnsi="Arial" w:cs="Arial"/>
        </w:rPr>
        <w:t xml:space="preserve">. Mezi respondenty </w:t>
      </w:r>
      <w:r>
        <w:rPr>
          <w:rFonts w:ascii="Arial" w:hAnsi="Arial" w:cs="Arial"/>
        </w:rPr>
        <w:t xml:space="preserve">byli zástupci leteckého průmyslu, </w:t>
      </w:r>
      <w:r w:rsidR="009868D6">
        <w:rPr>
          <w:rFonts w:ascii="Arial" w:hAnsi="Arial" w:cs="Arial"/>
        </w:rPr>
        <w:t xml:space="preserve">sektoru </w:t>
      </w:r>
      <w:r>
        <w:rPr>
          <w:rFonts w:ascii="Arial" w:hAnsi="Arial" w:cs="Arial"/>
        </w:rPr>
        <w:t>obrany, hutnictví, strojírenství a průmyslových výrobků. Účastníci reprezentovali společnosti s ročním pří</w:t>
      </w:r>
      <w:r w:rsidR="00F62DA9">
        <w:rPr>
          <w:rFonts w:ascii="Arial" w:hAnsi="Arial" w:cs="Arial"/>
        </w:rPr>
        <w:t>jmem více než jedna miliarda dolarů</w:t>
      </w:r>
      <w:r>
        <w:rPr>
          <w:rFonts w:ascii="Arial" w:hAnsi="Arial" w:cs="Arial"/>
        </w:rPr>
        <w:t>, 33 procent respondentů tvořil</w:t>
      </w:r>
      <w:r w:rsidR="009868D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organizace </w:t>
      </w:r>
      <w:r w:rsidR="00F62DA9">
        <w:rPr>
          <w:rFonts w:ascii="Arial" w:hAnsi="Arial" w:cs="Arial"/>
        </w:rPr>
        <w:t xml:space="preserve">s příjmy </w:t>
      </w:r>
      <w:r w:rsidR="009868D6">
        <w:rPr>
          <w:rFonts w:ascii="Arial" w:hAnsi="Arial" w:cs="Arial"/>
        </w:rPr>
        <w:t>nad</w:t>
      </w:r>
      <w:r w:rsidR="00F62DA9">
        <w:rPr>
          <w:rFonts w:ascii="Arial" w:hAnsi="Arial" w:cs="Arial"/>
        </w:rPr>
        <w:t xml:space="preserve"> 10 miliard dolarů</w:t>
      </w:r>
      <w:r>
        <w:rPr>
          <w:rFonts w:ascii="Arial" w:hAnsi="Arial" w:cs="Arial"/>
        </w:rPr>
        <w:t xml:space="preserve">. </w:t>
      </w:r>
    </w:p>
    <w:p w:rsidR="00193A96" w:rsidRPr="00C85C69" w:rsidRDefault="00193A96" w:rsidP="00193A96">
      <w:pPr>
        <w:pStyle w:val="Zhlav"/>
        <w:rPr>
          <w:rFonts w:ascii="Arial" w:hAnsi="Arial" w:cs="Arial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531539" w:rsidRDefault="00531539" w:rsidP="001D25FC">
      <w:pPr>
        <w:spacing w:after="0"/>
        <w:jc w:val="right"/>
        <w:rPr>
          <w:rFonts w:ascii="Arial" w:hAnsi="Arial" w:cs="Arial"/>
          <w:highlight w:val="yellow"/>
        </w:rPr>
      </w:pPr>
    </w:p>
    <w:p w:rsidR="00977CFD" w:rsidRPr="001D25FC" w:rsidRDefault="00977CFD" w:rsidP="00977CFD">
      <w:pPr>
        <w:spacing w:after="0"/>
        <w:jc w:val="right"/>
        <w:rPr>
          <w:rFonts w:ascii="Arial" w:hAnsi="Arial" w:cs="Arial"/>
        </w:rPr>
      </w:pPr>
      <w:r w:rsidRPr="00977CFD">
        <w:rPr>
          <w:rFonts w:ascii="Arial" w:hAnsi="Arial" w:cs="Arial"/>
        </w:rPr>
        <w:t>Praha 28. srpna 2012</w:t>
      </w:r>
    </w:p>
    <w:p w:rsidR="00193A96" w:rsidRDefault="00193A96" w:rsidP="00193A96">
      <w:pPr>
        <w:rPr>
          <w:rFonts w:ascii="Arial" w:hAnsi="Arial" w:cs="Arial"/>
          <w:i/>
          <w:iCs/>
          <w:sz w:val="20"/>
          <w:szCs w:val="20"/>
        </w:rPr>
      </w:pPr>
    </w:p>
    <w:p w:rsidR="00193A96" w:rsidRPr="005426F2" w:rsidRDefault="00193A96" w:rsidP="00193A96">
      <w:pPr>
        <w:ind w:left="360"/>
        <w:jc w:val="center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– </w:t>
      </w:r>
      <w:r w:rsidRPr="005426F2">
        <w:rPr>
          <w:rFonts w:ascii="Arial" w:hAnsi="Arial" w:cs="Arial"/>
          <w:b/>
          <w:iCs/>
          <w:szCs w:val="20"/>
        </w:rPr>
        <w:t>KONEC</w:t>
      </w:r>
      <w:r w:rsidR="00684852">
        <w:rPr>
          <w:rFonts w:ascii="Arial" w:hAnsi="Arial" w:cs="Arial"/>
          <w:b/>
          <w:iCs/>
          <w:szCs w:val="20"/>
        </w:rPr>
        <w:t xml:space="preserve"> </w:t>
      </w:r>
      <w:r w:rsidRPr="005426F2">
        <w:rPr>
          <w:rFonts w:ascii="Arial" w:hAnsi="Arial" w:cs="Arial"/>
          <w:b/>
          <w:iCs/>
          <w:szCs w:val="20"/>
        </w:rPr>
        <w:t>–</w:t>
      </w:r>
    </w:p>
    <w:p w:rsidR="00193A96" w:rsidRDefault="00193A96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p w:rsidR="00736278" w:rsidRDefault="00736278" w:rsidP="00193A96">
      <w:pPr>
        <w:rPr>
          <w:rFonts w:ascii="Arial" w:hAnsi="Arial" w:cs="Arial"/>
          <w:i/>
          <w:color w:val="000000"/>
          <w:sz w:val="18"/>
          <w:szCs w:val="20"/>
        </w:rPr>
      </w:pPr>
    </w:p>
    <w:tbl>
      <w:tblPr>
        <w:tblStyle w:val="Mkatabulky"/>
        <w:tblW w:w="1183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487"/>
        <w:gridCol w:w="2194"/>
        <w:gridCol w:w="4111"/>
        <w:gridCol w:w="2058"/>
      </w:tblGrid>
      <w:tr w:rsidR="00986DBE" w:rsidRPr="00A31E69" w:rsidTr="0027080B">
        <w:trPr>
          <w:trHeight w:val="391"/>
        </w:trPr>
        <w:tc>
          <w:tcPr>
            <w:tcW w:w="2989" w:type="dxa"/>
            <w:shd w:val="clear" w:color="auto" w:fill="00338D"/>
          </w:tcPr>
          <w:p w:rsidR="00986DBE" w:rsidRPr="00CC3207" w:rsidRDefault="00986DBE" w:rsidP="00CC3207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  <w:p w:rsidR="00986DBE" w:rsidRPr="00780FAD" w:rsidRDefault="00986DBE" w:rsidP="00C43289">
            <w:pPr>
              <w:pStyle w:val="Contact"/>
              <w:spacing w:line="240" w:lineRule="auto"/>
              <w:ind w:left="175"/>
              <w:rPr>
                <w:rFonts w:ascii="Arial" w:hAnsi="Arial" w:cs="Arial"/>
                <w:b/>
              </w:rPr>
            </w:pPr>
            <w:r w:rsidRPr="00780FAD">
              <w:rPr>
                <w:rFonts w:ascii="Arial" w:hAnsi="Arial" w:cs="Arial"/>
                <w:b/>
              </w:rPr>
              <w:t>Kontakt</w:t>
            </w:r>
            <w:r>
              <w:rPr>
                <w:rFonts w:ascii="Arial" w:hAnsi="Arial" w:cs="Arial"/>
                <w:b/>
              </w:rPr>
              <w:t>y</w:t>
            </w:r>
            <w:r w:rsidRPr="00780FAD">
              <w:rPr>
                <w:rFonts w:ascii="Arial" w:hAnsi="Arial" w:cs="Arial"/>
                <w:b/>
              </w:rPr>
              <w:t xml:space="preserve"> pro média</w:t>
            </w:r>
          </w:p>
        </w:tc>
        <w:tc>
          <w:tcPr>
            <w:tcW w:w="487" w:type="dxa"/>
            <w:shd w:val="clear" w:color="auto" w:fill="00338D"/>
          </w:tcPr>
          <w:p w:rsidR="00986DBE" w:rsidRPr="00CC3207" w:rsidRDefault="00986DBE" w:rsidP="00AB4C9E">
            <w:pPr>
              <w:pStyle w:val="Contact"/>
              <w:spacing w:line="240" w:lineRule="auto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8363" w:type="dxa"/>
            <w:gridSpan w:val="3"/>
            <w:shd w:val="clear" w:color="auto" w:fill="00338D"/>
          </w:tcPr>
          <w:p w:rsidR="00986DBE" w:rsidRPr="00CC3207" w:rsidRDefault="00986DBE" w:rsidP="00986DBE">
            <w:pPr>
              <w:pStyle w:val="Contact"/>
              <w:spacing w:line="240" w:lineRule="auto"/>
              <w:ind w:right="459"/>
              <w:rPr>
                <w:rFonts w:ascii="Arial" w:hAnsi="Arial" w:cs="Arial"/>
                <w:b/>
                <w:sz w:val="8"/>
              </w:rPr>
            </w:pPr>
          </w:p>
        </w:tc>
      </w:tr>
      <w:tr w:rsidR="00986DBE" w:rsidRPr="00A31E69" w:rsidTr="0027080B">
        <w:trPr>
          <w:gridAfter w:val="1"/>
          <w:wAfter w:w="2058" w:type="dxa"/>
        </w:trPr>
        <w:tc>
          <w:tcPr>
            <w:tcW w:w="5670" w:type="dxa"/>
            <w:gridSpan w:val="3"/>
          </w:tcPr>
          <w:p w:rsidR="00986DBE" w:rsidRPr="00FA4F07" w:rsidRDefault="00986DBE" w:rsidP="003B10ED">
            <w:pPr>
              <w:spacing w:before="240"/>
              <w:ind w:left="175" w:right="742"/>
              <w:rPr>
                <w:rStyle w:val="Contactbold"/>
                <w:color w:val="00338D"/>
                <w:lang w:val="en-US"/>
              </w:rPr>
            </w:pPr>
            <w:r w:rsidRPr="00FA4F07">
              <w:rPr>
                <w:rStyle w:val="Contactbold"/>
                <w:color w:val="00338D"/>
                <w:lang w:val="en-US"/>
              </w:rPr>
              <w:t>Kateřina Konečná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F05123">
              <w:rPr>
                <w:rFonts w:ascii="Arial" w:hAnsi="Arial" w:cs="Arial"/>
                <w:noProof/>
                <w:color w:val="000000"/>
              </w:rPr>
              <w:t>Marketing and Communications Manager</w:t>
            </w:r>
          </w:p>
          <w:p w:rsidR="00986DBE" w:rsidRPr="00F05123" w:rsidRDefault="00986DBE" w:rsidP="00C43289">
            <w:pPr>
              <w:spacing w:line="276" w:lineRule="auto"/>
              <w:ind w:left="175"/>
              <w:rPr>
                <w:rFonts w:ascii="Arial" w:hAnsi="Arial" w:cs="Arial"/>
                <w:b/>
                <w:noProof/>
                <w:color w:val="000000"/>
              </w:rPr>
            </w:pPr>
            <w:r w:rsidRPr="00F05123">
              <w:rPr>
                <w:rFonts w:ascii="Arial" w:hAnsi="Arial" w:cs="Arial"/>
                <w:b/>
                <w:noProof/>
                <w:color w:val="000000"/>
              </w:rPr>
              <w:t>KPMG Česká republika</w:t>
            </w:r>
          </w:p>
          <w:p w:rsidR="00986DBE" w:rsidRDefault="00986DBE" w:rsidP="00C43289">
            <w:pPr>
              <w:spacing w:line="276" w:lineRule="auto"/>
              <w:ind w:left="175"/>
              <w:rPr>
                <w:rFonts w:ascii="Arial" w:hAnsi="Arial" w:cs="Arial"/>
                <w:noProof/>
                <w:color w:val="000000"/>
              </w:rPr>
            </w:pPr>
            <w:r w:rsidRPr="008F4C63">
              <w:rPr>
                <w:rFonts w:ascii="Arial" w:hAnsi="Arial" w:cs="Arial"/>
                <w:b/>
                <w:noProof/>
                <w:color w:val="000000"/>
              </w:rPr>
              <w:t>T</w:t>
            </w:r>
            <w:r>
              <w:rPr>
                <w:rFonts w:ascii="Arial" w:hAnsi="Arial" w:cs="Arial"/>
                <w:b/>
                <w:noProof/>
                <w:color w:val="000000"/>
              </w:rPr>
              <w:t>:</w:t>
            </w:r>
            <w:r w:rsidRPr="00A31E69">
              <w:rPr>
                <w:rFonts w:ascii="Arial" w:hAnsi="Arial" w:cs="Arial"/>
                <w:noProof/>
                <w:color w:val="000000"/>
              </w:rPr>
              <w:t xml:space="preserve"> 222 123</w:t>
            </w:r>
            <w:r>
              <w:rPr>
                <w:rFonts w:ascii="Arial" w:hAnsi="Arial" w:cs="Arial"/>
                <w:noProof/>
                <w:color w:val="000000"/>
              </w:rPr>
              <w:t> </w:t>
            </w:r>
            <w:r w:rsidRPr="00A31E69">
              <w:rPr>
                <w:rFonts w:ascii="Arial" w:hAnsi="Arial" w:cs="Arial"/>
                <w:noProof/>
                <w:color w:val="000000"/>
              </w:rPr>
              <w:t>256</w:t>
            </w:r>
          </w:p>
          <w:p w:rsidR="00986DBE" w:rsidRDefault="00986DBE" w:rsidP="00C43289">
            <w:pPr>
              <w:ind w:left="175"/>
            </w:pPr>
            <w:r w:rsidRPr="0054537C">
              <w:rPr>
                <w:rStyle w:val="Contactbold"/>
                <w:lang w:val="de-DE"/>
              </w:rPr>
              <w:t>E</w:t>
            </w:r>
            <w:r>
              <w:rPr>
                <w:rStyle w:val="Contactbold"/>
                <w:lang w:val="de-DE"/>
              </w:rPr>
              <w:t>:</w:t>
            </w:r>
            <w:r w:rsidRPr="00BA3DBB">
              <w:t xml:space="preserve"> </w:t>
            </w:r>
            <w:hyperlink r:id="rId12" w:history="1">
              <w:r w:rsidRPr="00CE05AF">
                <w:rPr>
                  <w:rStyle w:val="Hypertextovodkaz"/>
                  <w:rFonts w:ascii="Arial" w:hAnsi="Arial" w:cs="Arial"/>
                </w:rPr>
                <w:t>kkonecna@kpmg.cz</w:t>
              </w:r>
            </w:hyperlink>
          </w:p>
          <w:p w:rsidR="00986DBE" w:rsidRPr="008A0D9A" w:rsidRDefault="009118D4" w:rsidP="00C43289">
            <w:pPr>
              <w:pStyle w:val="Contactemail"/>
              <w:tabs>
                <w:tab w:val="left" w:pos="5685"/>
              </w:tabs>
              <w:spacing w:before="240"/>
              <w:ind w:left="175"/>
              <w:rPr>
                <w:rStyle w:val="Contactbold"/>
                <w:rFonts w:cs="Arial"/>
                <w:i/>
                <w:szCs w:val="20"/>
                <w:lang w:val="cs-CZ" w:eastAsia="cs-CZ"/>
              </w:rPr>
            </w:pPr>
            <w:hyperlink r:id="rId13" w:history="1">
              <w:r w:rsidR="00986DBE" w:rsidRPr="00F05123">
                <w:rPr>
                  <w:rStyle w:val="Contactbold"/>
                  <w:color w:val="00338D"/>
                  <w:lang w:val="de-DE"/>
                </w:rPr>
                <w:t>www.kpmg.cz</w:t>
              </w:r>
            </w:hyperlink>
          </w:p>
        </w:tc>
        <w:tc>
          <w:tcPr>
            <w:tcW w:w="4111" w:type="dxa"/>
          </w:tcPr>
          <w:p w:rsidR="0027080B" w:rsidRDefault="0027080B" w:rsidP="0027080B">
            <w:pPr>
              <w:spacing w:before="240"/>
              <w:ind w:left="696"/>
              <w:rPr>
                <w:rStyle w:val="Contactbold"/>
                <w:color w:val="00338D"/>
                <w:szCs w:val="20"/>
              </w:rPr>
            </w:pPr>
            <w:r>
              <w:rPr>
                <w:rStyle w:val="Contactbold"/>
                <w:rFonts w:cstheme="minorBidi"/>
                <w:color w:val="00338D"/>
              </w:rPr>
              <w:t>Lucie Neubergová</w:t>
            </w:r>
          </w:p>
          <w:p w:rsidR="0027080B" w:rsidRDefault="0027080B" w:rsidP="0027080B">
            <w:pPr>
              <w:ind w:left="696"/>
              <w:rPr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</w:rPr>
              <w:t>Account Manager</w:t>
            </w:r>
          </w:p>
          <w:p w:rsidR="0027080B" w:rsidRDefault="0027080B" w:rsidP="0027080B">
            <w:pPr>
              <w:ind w:left="696"/>
              <w:rPr>
                <w:rFonts w:ascii="Arial" w:hAnsi="Arial" w:cs="Arial"/>
                <w:b/>
                <w:noProof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>Native PR</w:t>
            </w:r>
          </w:p>
          <w:p w:rsidR="0027080B" w:rsidRDefault="0027080B" w:rsidP="0027080B">
            <w:pPr>
              <w:ind w:left="696"/>
              <w:rPr>
                <w:rStyle w:val="Contactbold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val="de-DE"/>
              </w:rPr>
              <w:t>T:</w:t>
            </w:r>
            <w:r>
              <w:rPr>
                <w:rFonts w:ascii="Arial" w:hAnsi="Arial" w:cs="Arial"/>
                <w:noProof/>
                <w:color w:val="000000"/>
                <w:lang w:val="de-DE"/>
              </w:rPr>
              <w:t xml:space="preserve"> 731 615 033</w:t>
            </w:r>
            <w:r>
              <w:rPr>
                <w:rStyle w:val="Contactbold"/>
                <w:lang w:val="de-DE"/>
              </w:rPr>
              <w:t xml:space="preserve"> </w:t>
            </w:r>
          </w:p>
          <w:p w:rsidR="0027080B" w:rsidRDefault="0027080B" w:rsidP="0027080B">
            <w:pPr>
              <w:ind w:left="696"/>
              <w:rPr>
                <w:noProof/>
                <w:sz w:val="22"/>
                <w:szCs w:val="22"/>
              </w:rPr>
            </w:pPr>
            <w:r>
              <w:rPr>
                <w:rStyle w:val="Contactbold"/>
                <w:lang w:val="de-DE"/>
              </w:rPr>
              <w:t xml:space="preserve">E: </w:t>
            </w:r>
            <w:hyperlink r:id="rId14" w:history="1">
              <w:r>
                <w:rPr>
                  <w:rStyle w:val="Hypertextovodkaz"/>
                  <w:rFonts w:ascii="Arial" w:hAnsi="Arial" w:cs="Arial"/>
                  <w:lang w:val="de-DE"/>
                </w:rPr>
                <w:t>lucie.neubergova@nativepr.cz</w:t>
              </w:r>
            </w:hyperlink>
            <w:r>
              <w:rPr>
                <w:rStyle w:val="Contactbold"/>
                <w:b w:val="0"/>
                <w:lang w:val="de-DE"/>
              </w:rPr>
              <w:t xml:space="preserve"> </w:t>
            </w:r>
            <w:r>
              <w:rPr>
                <w:rStyle w:val="Contactbold"/>
                <w:lang w:val="de-DE"/>
              </w:rPr>
              <w:t xml:space="preserve"> </w:t>
            </w:r>
          </w:p>
          <w:p w:rsidR="0027080B" w:rsidRDefault="009118D4" w:rsidP="0027080B">
            <w:pPr>
              <w:spacing w:before="240"/>
              <w:ind w:left="696"/>
              <w:rPr>
                <w:rStyle w:val="Contactbold"/>
                <w:rFonts w:cstheme="minorBidi"/>
                <w:color w:val="00338D"/>
              </w:rPr>
            </w:pPr>
            <w:hyperlink r:id="rId15" w:history="1">
              <w:r w:rsidR="0027080B">
                <w:rPr>
                  <w:rStyle w:val="Contactbold"/>
                  <w:rFonts w:cstheme="minorBidi"/>
                  <w:color w:val="00338D"/>
                </w:rPr>
                <w:t>www.nativepr.cz</w:t>
              </w:r>
            </w:hyperlink>
          </w:p>
          <w:p w:rsidR="00986DBE" w:rsidRPr="00FA4F07" w:rsidRDefault="00986DBE" w:rsidP="0027080B">
            <w:pPr>
              <w:spacing w:before="240"/>
              <w:ind w:left="33"/>
              <w:rPr>
                <w:rStyle w:val="Contactbold"/>
                <w:color w:val="00338D"/>
                <w:lang w:val="en-US"/>
              </w:rPr>
            </w:pPr>
          </w:p>
        </w:tc>
      </w:tr>
    </w:tbl>
    <w:p w:rsidR="00F05123" w:rsidRDefault="00F05123" w:rsidP="00F05123">
      <w:pPr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Společnost KPMG Česká republika zahájila svou činnost v roce 1990, kdy byla v Praze otevřena první kancelář. V současné době má 740 zaměstnanců a kanceláře v Praze, Brně, Českých Budějovicích, Liberci a Ostravě. KPMG Česká republika poskytuje služby </w:t>
      </w:r>
      <w:r w:rsidR="00533F2B">
        <w:rPr>
          <w:rFonts w:ascii="Arial" w:hAnsi="Arial" w:cs="Arial"/>
          <w:i/>
          <w:color w:val="000000"/>
          <w:sz w:val="18"/>
          <w:szCs w:val="20"/>
        </w:rPr>
        <w:t>v oblasti auditu, daní, poradenství a práva.</w:t>
      </w: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 Z 610 odborných pracovníků je 30 partnerů, 28 statutárních auditorů, 92 certifikovaných účetních a 71 daňových poradců. V KPMG Česká republika působí celkem 22 kvalifikovaných zahraničních odborníků</w:t>
      </w:r>
      <w:r>
        <w:rPr>
          <w:rFonts w:ascii="Arial" w:hAnsi="Arial" w:cs="Arial"/>
          <w:i/>
          <w:color w:val="000000"/>
          <w:sz w:val="18"/>
          <w:szCs w:val="20"/>
        </w:rPr>
        <w:t>.</w:t>
      </w:r>
    </w:p>
    <w:p w:rsidR="007163E3" w:rsidRPr="00100EC9" w:rsidRDefault="00193A96" w:rsidP="00100EC9">
      <w:pPr>
        <w:spacing w:after="0"/>
        <w:ind w:left="-993"/>
        <w:rPr>
          <w:rFonts w:ascii="Arial" w:hAnsi="Arial" w:cs="Arial"/>
          <w:i/>
          <w:color w:val="000000"/>
          <w:sz w:val="18"/>
          <w:szCs w:val="20"/>
        </w:rPr>
      </w:pPr>
      <w:r w:rsidRPr="00C85C69">
        <w:rPr>
          <w:rFonts w:ascii="Arial" w:hAnsi="Arial" w:cs="Arial"/>
          <w:i/>
          <w:color w:val="000000"/>
          <w:sz w:val="18"/>
          <w:szCs w:val="20"/>
        </w:rPr>
        <w:t xml:space="preserve">KPMG je celosvětová síť poradenských společností poskytujících služby v oblasti auditu, daní a poradenství. </w:t>
      </w:r>
      <w:r w:rsidR="00AA5326">
        <w:rPr>
          <w:rFonts w:ascii="Arial" w:hAnsi="Arial" w:cs="Arial"/>
          <w:i/>
          <w:color w:val="000000"/>
          <w:sz w:val="18"/>
          <w:szCs w:val="20"/>
        </w:rPr>
        <w:br/>
      </w:r>
      <w:r w:rsidRPr="00C85C69">
        <w:rPr>
          <w:rFonts w:ascii="Arial" w:hAnsi="Arial" w:cs="Arial"/>
          <w:i/>
          <w:color w:val="000000"/>
          <w:sz w:val="18"/>
          <w:szCs w:val="20"/>
        </w:rPr>
        <w:t>V jejích členských společnostech pracuje více než 138 000 pracovníků v</w:t>
      </w:r>
      <w:r w:rsidR="00531539">
        <w:rPr>
          <w:rFonts w:ascii="Arial" w:hAnsi="Arial" w:cs="Arial"/>
          <w:i/>
          <w:color w:val="000000"/>
          <w:sz w:val="18"/>
          <w:szCs w:val="20"/>
        </w:rPr>
        <w:t>e 1</w:t>
      </w:r>
      <w:r w:rsidRPr="00C85C69">
        <w:rPr>
          <w:rFonts w:ascii="Arial" w:hAnsi="Arial" w:cs="Arial"/>
          <w:i/>
          <w:color w:val="000000"/>
          <w:sz w:val="18"/>
          <w:szCs w:val="20"/>
        </w:rPr>
        <w:t>50 zemích. Nezávislé členské společnosti sítě KPMG jsou přidružené ke KPMG International Cooperative („KPMG International“), švýcarské organizační jednotce. Každá členská společnost celosvětové sítě KPMG je právně samostatná a odděl</w:t>
      </w:r>
      <w:r w:rsidR="00100EC9">
        <w:rPr>
          <w:rFonts w:ascii="Arial" w:hAnsi="Arial" w:cs="Arial"/>
          <w:i/>
          <w:color w:val="000000"/>
          <w:sz w:val="18"/>
          <w:szCs w:val="20"/>
        </w:rPr>
        <w:t>ená jednotka a tak se označuje.</w:t>
      </w:r>
    </w:p>
    <w:sectPr w:rsidR="007163E3" w:rsidRPr="00100EC9" w:rsidSect="008C570D">
      <w:headerReference w:type="default" r:id="rId16"/>
      <w:footerReference w:type="default" r:id="rId17"/>
      <w:pgSz w:w="11907" w:h="16840" w:code="9"/>
      <w:pgMar w:top="2092" w:right="850" w:bottom="1418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D4" w:rsidRDefault="009118D4" w:rsidP="0083372E">
      <w:pPr>
        <w:spacing w:after="0" w:line="240" w:lineRule="auto"/>
      </w:pPr>
      <w:r>
        <w:separator/>
      </w:r>
    </w:p>
  </w:endnote>
  <w:endnote w:type="continuationSeparator" w:id="0">
    <w:p w:rsidR="009118D4" w:rsidRDefault="009118D4" w:rsidP="0083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8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07E53" w:rsidRDefault="008D27A5">
        <w:pPr>
          <w:pStyle w:val="Zpat"/>
          <w:jc w:val="center"/>
        </w:pPr>
        <w:r w:rsidRPr="00582FCF">
          <w:rPr>
            <w:rFonts w:ascii="Arial" w:hAnsi="Arial" w:cs="Arial"/>
            <w:sz w:val="20"/>
          </w:rPr>
          <w:fldChar w:fldCharType="begin"/>
        </w:r>
        <w:r w:rsidR="00307E53" w:rsidRPr="00582FCF">
          <w:rPr>
            <w:rFonts w:ascii="Arial" w:hAnsi="Arial" w:cs="Arial"/>
            <w:sz w:val="20"/>
          </w:rPr>
          <w:instrText xml:space="preserve"> PAGE   \* MERGEFORMAT </w:instrText>
        </w:r>
        <w:r w:rsidRPr="00582FCF">
          <w:rPr>
            <w:rFonts w:ascii="Arial" w:hAnsi="Arial" w:cs="Arial"/>
            <w:sz w:val="20"/>
          </w:rPr>
          <w:fldChar w:fldCharType="separate"/>
        </w:r>
        <w:r w:rsidR="00F97D81">
          <w:rPr>
            <w:rFonts w:ascii="Arial" w:hAnsi="Arial" w:cs="Arial"/>
            <w:noProof/>
            <w:sz w:val="20"/>
          </w:rPr>
          <w:t>1</w:t>
        </w:r>
        <w:r w:rsidRPr="00582FCF">
          <w:rPr>
            <w:rFonts w:ascii="Arial" w:hAnsi="Arial" w:cs="Arial"/>
            <w:sz w:val="20"/>
          </w:rPr>
          <w:fldChar w:fldCharType="end"/>
        </w:r>
      </w:p>
    </w:sdtContent>
  </w:sdt>
  <w:p w:rsidR="00307E53" w:rsidRDefault="00307E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D4" w:rsidRDefault="009118D4" w:rsidP="0083372E">
      <w:pPr>
        <w:spacing w:after="0" w:line="240" w:lineRule="auto"/>
      </w:pPr>
      <w:r>
        <w:separator/>
      </w:r>
    </w:p>
  </w:footnote>
  <w:footnote w:type="continuationSeparator" w:id="0">
    <w:p w:rsidR="009118D4" w:rsidRDefault="009118D4" w:rsidP="0083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53" w:rsidRDefault="00307E53">
    <w:pPr>
      <w:pStyle w:val="Zhlav"/>
    </w:pPr>
    <w:r w:rsidRPr="008D2A5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-240665</wp:posOffset>
          </wp:positionV>
          <wp:extent cx="1676400" cy="904875"/>
          <wp:effectExtent l="0" t="0" r="0" b="0"/>
          <wp:wrapNone/>
          <wp:docPr id="1" name="Picture 6" descr="KPMG_Plus_Strapline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MG_Plus_Strapline_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-728980</wp:posOffset>
              </wp:positionH>
              <wp:positionV relativeFrom="paragraph">
                <wp:posOffset>-307340</wp:posOffset>
              </wp:positionV>
              <wp:extent cx="7200900" cy="1114425"/>
              <wp:effectExtent l="0" t="0" r="0" b="9525"/>
              <wp:wrapNone/>
              <wp:docPr id="8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gray">
                      <a:xfrm>
                        <a:off x="0" y="0"/>
                        <a:ext cx="6854825" cy="10652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4318" y="0"/>
                          </a:cxn>
                          <a:cxn ang="0">
                            <a:pos x="0" y="0"/>
                          </a:cxn>
                          <a:cxn ang="0">
                            <a:pos x="0" y="671"/>
                          </a:cxn>
                          <a:cxn ang="0">
                            <a:pos x="4122" y="671"/>
                          </a:cxn>
                          <a:cxn ang="0">
                            <a:pos x="4318" y="9"/>
                          </a:cxn>
                          <a:cxn ang="0">
                            <a:pos x="4318" y="0"/>
                          </a:cxn>
                        </a:cxnLst>
                        <a:rect l="0" t="0" r="r" b="b"/>
                        <a:pathLst>
                          <a:path w="4318" h="671">
                            <a:moveTo>
                              <a:pt x="4318" y="0"/>
                            </a:moveTo>
                            <a:lnTo>
                              <a:pt x="0" y="0"/>
                            </a:lnTo>
                            <a:lnTo>
                              <a:pt x="0" y="671"/>
                            </a:lnTo>
                            <a:lnTo>
                              <a:pt x="4122" y="671"/>
                            </a:lnTo>
                            <a:lnTo>
                              <a:pt x="4318" y="9"/>
                            </a:lnTo>
                            <a:lnTo>
                              <a:pt x="4318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257A">
                              <a:alpha val="90000"/>
                            </a:srgbClr>
                          </a:gs>
                          <a:gs pos="35000">
                            <a:srgbClr val="00338D">
                              <a:alpha val="90000"/>
                            </a:srgbClr>
                          </a:gs>
                          <a:gs pos="100000">
                            <a:srgbClr val="009FDA">
                              <a:alpha val="9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 cap="flat" cmpd="sng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Freeform 20" o:spid="_x0000_s1026" style="position:absolute;margin-left:-57.4pt;margin-top:-24.2pt;width:567pt;height:8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8,671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" path="m4318,l,,,671r4122,l4318,9r,-9xe" fillcolor="#00257a" stroked="f">
              <v:fill opacity="58982f" color2="#009fda" o:opacity2="58982f" rotate="t" angle="90" colors="0 #00257a;22938f #00338d;1 #009fda" focus="100%" type="gradient"/>
              <v:path arrowok="t" o:connecttype="custom" o:connectlocs="4318,0;0,0;0,671;4122,671;4318,9;4318,0" o:connectangles="0,0,0,0,0,0"/>
            </v:shape>
          </w:pict>
        </mc:Fallback>
      </mc:AlternateContent>
    </w:r>
    <w:r w:rsidR="00F97D8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3842385</wp:posOffset>
              </wp:positionH>
              <wp:positionV relativeFrom="paragraph">
                <wp:posOffset>-57785</wp:posOffset>
              </wp:positionV>
              <wp:extent cx="2413635" cy="606425"/>
              <wp:effectExtent l="3810" t="0" r="190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E53" w:rsidRPr="00455AD3" w:rsidRDefault="00307E53" w:rsidP="005A201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 w:rsidRPr="00455AD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2"/>
                            </w:rPr>
                            <w:t>ZPRÁVA PRO TISK</w:t>
                          </w:r>
                        </w:p>
                        <w:p w:rsidR="00307E53" w:rsidRPr="00C97D4B" w:rsidRDefault="00307E53" w:rsidP="005A2015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</w:pPr>
                          <w:r w:rsidRPr="00C97D4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</w:rPr>
                            <w:t>KPMG V ČESKÉ REPUBLICE</w:t>
                          </w:r>
                        </w:p>
                        <w:p w:rsidR="00307E53" w:rsidRPr="005A2015" w:rsidRDefault="00307E5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55pt;margin-top:-4.55pt;width:190.0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UotAIAALk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" filled="f" stroked="f">
              <v:textbox>
                <w:txbxContent>
                  <w:p w:rsidR="00307E53" w:rsidRPr="00455AD3" w:rsidRDefault="00307E53" w:rsidP="005A2015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</w:pPr>
                    <w:r w:rsidRPr="00455AD3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2"/>
                      </w:rPr>
                      <w:t>ZPRÁVA PRO TISK</w:t>
                    </w:r>
                  </w:p>
                  <w:p w:rsidR="00307E53" w:rsidRPr="00C97D4B" w:rsidRDefault="00307E53" w:rsidP="005A2015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</w:pPr>
                    <w:r w:rsidRPr="00C97D4B">
                      <w:rPr>
                        <w:rFonts w:ascii="Arial" w:hAnsi="Arial" w:cs="Arial"/>
                        <w:color w:val="FFFFFF" w:themeColor="background1"/>
                        <w:sz w:val="24"/>
                      </w:rPr>
                      <w:t>KPMG V ČESKÉ REPUBLICE</w:t>
                    </w:r>
                  </w:p>
                  <w:p w:rsidR="00307E53" w:rsidRPr="005A2015" w:rsidRDefault="00307E5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8CB"/>
    <w:multiLevelType w:val="hybridMultilevel"/>
    <w:tmpl w:val="B3E28A3A"/>
    <w:lvl w:ilvl="0" w:tplc="41C23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8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2E"/>
    <w:rsid w:val="000908DE"/>
    <w:rsid w:val="000936BC"/>
    <w:rsid w:val="000A0E74"/>
    <w:rsid w:val="000B0A5E"/>
    <w:rsid w:val="000C0E2B"/>
    <w:rsid w:val="000D0F91"/>
    <w:rsid w:val="000D53E4"/>
    <w:rsid w:val="000F00E4"/>
    <w:rsid w:val="000F5EDE"/>
    <w:rsid w:val="0010011A"/>
    <w:rsid w:val="00100EC9"/>
    <w:rsid w:val="001050BA"/>
    <w:rsid w:val="00112BF2"/>
    <w:rsid w:val="00116CC8"/>
    <w:rsid w:val="001433C4"/>
    <w:rsid w:val="00146064"/>
    <w:rsid w:val="001656ED"/>
    <w:rsid w:val="001657C1"/>
    <w:rsid w:val="00167315"/>
    <w:rsid w:val="001848C2"/>
    <w:rsid w:val="00193A96"/>
    <w:rsid w:val="00197A6B"/>
    <w:rsid w:val="001A41B9"/>
    <w:rsid w:val="001B7757"/>
    <w:rsid w:val="001C15D2"/>
    <w:rsid w:val="001C2DE9"/>
    <w:rsid w:val="001D25FC"/>
    <w:rsid w:val="00210AD8"/>
    <w:rsid w:val="00211EB6"/>
    <w:rsid w:val="002336C8"/>
    <w:rsid w:val="00247A5A"/>
    <w:rsid w:val="0027080B"/>
    <w:rsid w:val="002A1A20"/>
    <w:rsid w:val="002A6E53"/>
    <w:rsid w:val="002B00B1"/>
    <w:rsid w:val="002B0919"/>
    <w:rsid w:val="002B096A"/>
    <w:rsid w:val="002C4337"/>
    <w:rsid w:val="002D536A"/>
    <w:rsid w:val="00307E29"/>
    <w:rsid w:val="00307E53"/>
    <w:rsid w:val="00331F9E"/>
    <w:rsid w:val="00350031"/>
    <w:rsid w:val="003834C8"/>
    <w:rsid w:val="00391AD2"/>
    <w:rsid w:val="003925D1"/>
    <w:rsid w:val="003955F5"/>
    <w:rsid w:val="003B10ED"/>
    <w:rsid w:val="003B273C"/>
    <w:rsid w:val="003C729F"/>
    <w:rsid w:val="003D25C3"/>
    <w:rsid w:val="00402C0B"/>
    <w:rsid w:val="00406CED"/>
    <w:rsid w:val="00413B8B"/>
    <w:rsid w:val="004164DB"/>
    <w:rsid w:val="00422112"/>
    <w:rsid w:val="00422C8D"/>
    <w:rsid w:val="004322E9"/>
    <w:rsid w:val="004420C3"/>
    <w:rsid w:val="00443C75"/>
    <w:rsid w:val="0044698A"/>
    <w:rsid w:val="004479A0"/>
    <w:rsid w:val="00453A01"/>
    <w:rsid w:val="00455AD3"/>
    <w:rsid w:val="004B358E"/>
    <w:rsid w:val="004E4596"/>
    <w:rsid w:val="004F1F3C"/>
    <w:rsid w:val="005117E3"/>
    <w:rsid w:val="005131CC"/>
    <w:rsid w:val="00513ED3"/>
    <w:rsid w:val="00531539"/>
    <w:rsid w:val="00533F2B"/>
    <w:rsid w:val="0054537C"/>
    <w:rsid w:val="005535C3"/>
    <w:rsid w:val="00573200"/>
    <w:rsid w:val="00574927"/>
    <w:rsid w:val="00582FCF"/>
    <w:rsid w:val="005A2015"/>
    <w:rsid w:val="005C7FD5"/>
    <w:rsid w:val="006052CA"/>
    <w:rsid w:val="00613857"/>
    <w:rsid w:val="00622F5A"/>
    <w:rsid w:val="00627079"/>
    <w:rsid w:val="00654D9D"/>
    <w:rsid w:val="00661634"/>
    <w:rsid w:val="006765C3"/>
    <w:rsid w:val="00684852"/>
    <w:rsid w:val="0068630A"/>
    <w:rsid w:val="006907AA"/>
    <w:rsid w:val="00697BCB"/>
    <w:rsid w:val="006C0C52"/>
    <w:rsid w:val="006E30DE"/>
    <w:rsid w:val="006E373A"/>
    <w:rsid w:val="006F6E7D"/>
    <w:rsid w:val="00705D48"/>
    <w:rsid w:val="007063DA"/>
    <w:rsid w:val="0071087A"/>
    <w:rsid w:val="00712204"/>
    <w:rsid w:val="007163E3"/>
    <w:rsid w:val="00736278"/>
    <w:rsid w:val="00750D37"/>
    <w:rsid w:val="007558FE"/>
    <w:rsid w:val="00756C87"/>
    <w:rsid w:val="0076132D"/>
    <w:rsid w:val="00767696"/>
    <w:rsid w:val="00775B57"/>
    <w:rsid w:val="00780FAD"/>
    <w:rsid w:val="00785276"/>
    <w:rsid w:val="00790767"/>
    <w:rsid w:val="007D0A9A"/>
    <w:rsid w:val="007F0D59"/>
    <w:rsid w:val="008265D0"/>
    <w:rsid w:val="0083055E"/>
    <w:rsid w:val="00832E64"/>
    <w:rsid w:val="0083372E"/>
    <w:rsid w:val="00866626"/>
    <w:rsid w:val="008A0D9A"/>
    <w:rsid w:val="008A480E"/>
    <w:rsid w:val="008C570D"/>
    <w:rsid w:val="008D27A5"/>
    <w:rsid w:val="008D2A50"/>
    <w:rsid w:val="008F237B"/>
    <w:rsid w:val="008F4C63"/>
    <w:rsid w:val="008F58F7"/>
    <w:rsid w:val="009020F7"/>
    <w:rsid w:val="009118D4"/>
    <w:rsid w:val="00913302"/>
    <w:rsid w:val="00914D2F"/>
    <w:rsid w:val="00935547"/>
    <w:rsid w:val="00966AE7"/>
    <w:rsid w:val="00977CFD"/>
    <w:rsid w:val="009868D6"/>
    <w:rsid w:val="00986DBE"/>
    <w:rsid w:val="009957F0"/>
    <w:rsid w:val="009D69BA"/>
    <w:rsid w:val="009E4EE8"/>
    <w:rsid w:val="009E7B36"/>
    <w:rsid w:val="009F4E6E"/>
    <w:rsid w:val="00A04690"/>
    <w:rsid w:val="00A17D7C"/>
    <w:rsid w:val="00A23B6F"/>
    <w:rsid w:val="00A45B86"/>
    <w:rsid w:val="00A65FBB"/>
    <w:rsid w:val="00A71CF8"/>
    <w:rsid w:val="00A80EEC"/>
    <w:rsid w:val="00A827CD"/>
    <w:rsid w:val="00AA5326"/>
    <w:rsid w:val="00AB32F6"/>
    <w:rsid w:val="00AB4C9E"/>
    <w:rsid w:val="00AF4D4A"/>
    <w:rsid w:val="00B05CFD"/>
    <w:rsid w:val="00B10287"/>
    <w:rsid w:val="00B27AD9"/>
    <w:rsid w:val="00B548F6"/>
    <w:rsid w:val="00B615A4"/>
    <w:rsid w:val="00B81B2E"/>
    <w:rsid w:val="00B85070"/>
    <w:rsid w:val="00B91647"/>
    <w:rsid w:val="00BC5698"/>
    <w:rsid w:val="00BE7EA6"/>
    <w:rsid w:val="00C1494D"/>
    <w:rsid w:val="00C205F1"/>
    <w:rsid w:val="00C37165"/>
    <w:rsid w:val="00C43289"/>
    <w:rsid w:val="00C87069"/>
    <w:rsid w:val="00C931C5"/>
    <w:rsid w:val="00C97D4B"/>
    <w:rsid w:val="00CA1DFF"/>
    <w:rsid w:val="00CA234F"/>
    <w:rsid w:val="00CC3207"/>
    <w:rsid w:val="00CD341E"/>
    <w:rsid w:val="00CE05AF"/>
    <w:rsid w:val="00CE1B7F"/>
    <w:rsid w:val="00CE1D29"/>
    <w:rsid w:val="00CF1298"/>
    <w:rsid w:val="00D12524"/>
    <w:rsid w:val="00D217FC"/>
    <w:rsid w:val="00D26244"/>
    <w:rsid w:val="00D5083A"/>
    <w:rsid w:val="00D8588D"/>
    <w:rsid w:val="00D87051"/>
    <w:rsid w:val="00DA5D3B"/>
    <w:rsid w:val="00DB42F3"/>
    <w:rsid w:val="00DC3166"/>
    <w:rsid w:val="00DD0CE8"/>
    <w:rsid w:val="00DD3AAC"/>
    <w:rsid w:val="00DF73C2"/>
    <w:rsid w:val="00E04B42"/>
    <w:rsid w:val="00E13C7D"/>
    <w:rsid w:val="00E17CE3"/>
    <w:rsid w:val="00E271D5"/>
    <w:rsid w:val="00E33ECB"/>
    <w:rsid w:val="00E42ECF"/>
    <w:rsid w:val="00EA339C"/>
    <w:rsid w:val="00EA4169"/>
    <w:rsid w:val="00EB7CA9"/>
    <w:rsid w:val="00EC6F85"/>
    <w:rsid w:val="00ED0E60"/>
    <w:rsid w:val="00ED72E1"/>
    <w:rsid w:val="00F05123"/>
    <w:rsid w:val="00F07D67"/>
    <w:rsid w:val="00F3700D"/>
    <w:rsid w:val="00F444F1"/>
    <w:rsid w:val="00F537D2"/>
    <w:rsid w:val="00F62DA9"/>
    <w:rsid w:val="00F814B1"/>
    <w:rsid w:val="00F97D81"/>
    <w:rsid w:val="00FA3DF0"/>
    <w:rsid w:val="00FA4F07"/>
    <w:rsid w:val="00FC4731"/>
    <w:rsid w:val="00FC7710"/>
    <w:rsid w:val="00FD4217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1B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1B9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77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3A96"/>
    <w:pPr>
      <w:keepNext/>
      <w:spacing w:before="240" w:after="60" w:line="360" w:lineRule="exact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A96"/>
    <w:pPr>
      <w:keepNext/>
      <w:spacing w:before="240" w:after="60" w:line="320" w:lineRule="exact"/>
      <w:jc w:val="center"/>
      <w:outlineLvl w:val="1"/>
    </w:pPr>
    <w:rPr>
      <w:rFonts w:ascii="Times New Roman" w:eastAsia="Times New Roman" w:hAnsi="Times New Roman" w:cs="Arial"/>
      <w:bCs/>
      <w:i/>
      <w:iCs/>
      <w:spacing w:val="6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93A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72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372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72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5F5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193A96"/>
    <w:rPr>
      <w:rFonts w:ascii="Times New Roman" w:eastAsia="Times New Roman" w:hAnsi="Times New Roman" w:cs="Arial"/>
      <w:b/>
      <w:bCs/>
      <w:spacing w:val="20"/>
      <w:kern w:val="32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rsid w:val="00193A96"/>
    <w:rPr>
      <w:rFonts w:ascii="Times New Roman" w:eastAsia="Times New Roman" w:hAnsi="Times New Roman" w:cs="Arial"/>
      <w:bCs/>
      <w:i/>
      <w:iCs/>
      <w:spacing w:val="6"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rsid w:val="00193A96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paragraph" w:customStyle="1" w:styleId="Contact">
    <w:name w:val="Contact"/>
    <w:basedOn w:val="Normln"/>
    <w:rsid w:val="00193A96"/>
    <w:pPr>
      <w:spacing w:after="0" w:line="280" w:lineRule="exact"/>
    </w:pPr>
    <w:rPr>
      <w:rFonts w:ascii="Times New Roman" w:eastAsia="Times New Roman" w:hAnsi="Times New Roman" w:cs="Times New Roman"/>
      <w:bCs/>
      <w:szCs w:val="24"/>
    </w:rPr>
  </w:style>
  <w:style w:type="character" w:styleId="Hypertextovodkaz">
    <w:name w:val="Hyperlink"/>
    <w:basedOn w:val="Standardnpsmoodstavce"/>
    <w:rsid w:val="00193A96"/>
    <w:rPr>
      <w:color w:val="0000FF"/>
      <w:u w:val="single"/>
    </w:rPr>
  </w:style>
  <w:style w:type="table" w:styleId="Mkatabulky">
    <w:name w:val="Table Grid"/>
    <w:basedOn w:val="Normlntabulka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LTGliederung1">
    <w:name w:val="Default~LT~Gliederung 1"/>
    <w:rsid w:val="00193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DefaultLTTitel">
    <w:name w:val="Default~LT~Titel"/>
    <w:rsid w:val="00193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character" w:styleId="Odkaznakoment">
    <w:name w:val="annotation reference"/>
    <w:basedOn w:val="Standardnpsmoodstavce"/>
    <w:rsid w:val="00193A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3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3A9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3C729F"/>
    <w:pPr>
      <w:ind w:left="720"/>
      <w:contextualSpacing/>
    </w:pPr>
  </w:style>
  <w:style w:type="paragraph" w:customStyle="1" w:styleId="Contactheading">
    <w:name w:val="_Contact heading"/>
    <w:basedOn w:val="Normln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name">
    <w:name w:val="_Contact name"/>
    <w:basedOn w:val="Normln"/>
    <w:next w:val="Contactsectorname"/>
    <w:qFormat/>
    <w:rsid w:val="00736278"/>
    <w:pPr>
      <w:spacing w:before="240" w:after="0" w:line="240" w:lineRule="atLeast"/>
    </w:pPr>
    <w:rPr>
      <w:rFonts w:ascii="Arial" w:eastAsia="Calibri" w:hAnsi="Arial" w:cs="Times New Roman"/>
      <w:b/>
      <w:color w:val="00338D"/>
      <w:sz w:val="20"/>
      <w:lang w:val="en-GB"/>
    </w:rPr>
  </w:style>
  <w:style w:type="paragraph" w:customStyle="1" w:styleId="Contactsectorname">
    <w:name w:val="_Contact sector name"/>
    <w:basedOn w:val="Normln"/>
    <w:next w:val="Contacttelephone"/>
    <w:qFormat/>
    <w:rsid w:val="00736278"/>
    <w:pPr>
      <w:spacing w:after="0" w:line="240" w:lineRule="atLeast"/>
    </w:pPr>
    <w:rPr>
      <w:rFonts w:ascii="Arial" w:eastAsia="Calibri" w:hAnsi="Arial" w:cs="Times New Roman"/>
      <w:b/>
      <w:color w:val="000000"/>
      <w:sz w:val="20"/>
      <w:lang w:val="en-GB"/>
    </w:rPr>
  </w:style>
  <w:style w:type="paragraph" w:customStyle="1" w:styleId="Contacttelephone">
    <w:name w:val="_Contact telephone"/>
    <w:basedOn w:val="Normln"/>
    <w:next w:val="Contactemail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paragraph" w:customStyle="1" w:styleId="Contactemail">
    <w:name w:val="_Contact email"/>
    <w:basedOn w:val="Normln"/>
    <w:next w:val="Contactname"/>
    <w:qFormat/>
    <w:rsid w:val="00736278"/>
    <w:pPr>
      <w:spacing w:after="0" w:line="240" w:lineRule="atLeast"/>
    </w:pPr>
    <w:rPr>
      <w:rFonts w:ascii="Arial" w:eastAsia="Calibri" w:hAnsi="Arial" w:cs="Times New Roman"/>
      <w:color w:val="000000"/>
      <w:sz w:val="20"/>
      <w:lang w:val="en-GB"/>
    </w:rPr>
  </w:style>
  <w:style w:type="character" w:customStyle="1" w:styleId="Contactbold">
    <w:name w:val="_Contact bold"/>
    <w:basedOn w:val="Standardnpsmoodstavce"/>
    <w:uiPriority w:val="1"/>
    <w:qFormat/>
    <w:rsid w:val="00736278"/>
    <w:rPr>
      <w:rFonts w:ascii="Arial" w:hAnsi="Arial"/>
      <w:b/>
      <w:color w:val="000000"/>
      <w:sz w:val="20"/>
      <w:szCs w:val="22"/>
      <w:lang w:val="en-GB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1B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1B9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77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pmg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konecna@kpmg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mg.com/CZ/cs/IssuesAndInsights/ArticlesPublications/Press-releases/Documents/KPMG-GMO-201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tivepr.cz" TargetMode="External"/><Relationship Id="rId10" Type="http://schemas.openxmlformats.org/officeDocument/2006/relationships/hyperlink" Target="http://www.kpmg.com/CZ/cs/WhatWeDo/Industries/Diversified-Industrials/Stranky/defaul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pmg.com/CZ/cs/IssuesAndInsights/ArticlesPublications/Press-releases/Documents/KPMG-GMO-2012.pdf" TargetMode="External"/><Relationship Id="rId14" Type="http://schemas.openxmlformats.org/officeDocument/2006/relationships/hyperlink" Target="mailto:lucie.neubergova@native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4CC4-3715-48CE-B827-9CF48382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Lucie Vrbova</cp:lastModifiedBy>
  <cp:revision>2</cp:revision>
  <cp:lastPrinted>2012-06-25T15:06:00Z</cp:lastPrinted>
  <dcterms:created xsi:type="dcterms:W3CDTF">2012-08-28T12:41:00Z</dcterms:created>
  <dcterms:modified xsi:type="dcterms:W3CDTF">2012-08-28T12:41:00Z</dcterms:modified>
</cp:coreProperties>
</file>