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60" w:rsidRPr="00AF1E17" w:rsidRDefault="00175757" w:rsidP="002B5B60">
      <w:pPr>
        <w:pStyle w:val="EYBodytextsubhead1"/>
        <w:tabs>
          <w:tab w:val="left" w:pos="4395"/>
        </w:tabs>
        <w:ind w:right="-85"/>
        <w:rPr>
          <w:rFonts w:ascii="Arial" w:hAnsi="Arial" w:cs="Arial"/>
          <w:b w:val="0"/>
          <w:sz w:val="36"/>
          <w:szCs w:val="36"/>
          <w:lang w:val="en-GB"/>
        </w:rPr>
      </w:pPr>
      <w:r w:rsidRPr="00AF1E17">
        <w:rPr>
          <w:rFonts w:ascii="Arial" w:hAnsi="Arial" w:cs="Arial"/>
          <w:b w:val="0"/>
          <w:sz w:val="36"/>
          <w:szCs w:val="36"/>
          <w:lang w:val="en-GB"/>
        </w:rPr>
        <w:t>Press Release</w:t>
      </w:r>
    </w:p>
    <w:p w:rsidR="002B5B60" w:rsidRPr="00AF1E17" w:rsidRDefault="002B5B60" w:rsidP="002B5B60">
      <w:pPr>
        <w:pStyle w:val="EYBodytextsubhead1"/>
        <w:tabs>
          <w:tab w:val="clear" w:pos="907"/>
          <w:tab w:val="left" w:pos="2548"/>
          <w:tab w:val="left" w:pos="6565"/>
        </w:tabs>
        <w:spacing w:after="0" w:line="240" w:lineRule="auto"/>
        <w:ind w:right="-85"/>
        <w:rPr>
          <w:rFonts w:ascii="Arial" w:hAnsi="Arial" w:cs="Arial"/>
          <w:b w:val="0"/>
          <w:sz w:val="16"/>
          <w:szCs w:val="16"/>
          <w:lang w:val="en-GB"/>
        </w:rPr>
      </w:pPr>
      <w:r w:rsidRPr="00AF1E17">
        <w:rPr>
          <w:rFonts w:ascii="Arial" w:hAnsi="Arial" w:cs="Arial"/>
          <w:b w:val="0"/>
          <w:szCs w:val="20"/>
          <w:lang w:val="en-GB"/>
        </w:rPr>
        <w:tab/>
      </w:r>
      <w:proofErr w:type="spellStart"/>
      <w:r w:rsidRPr="00AF1E17">
        <w:rPr>
          <w:rFonts w:ascii="Arial" w:hAnsi="Arial" w:cs="Arial"/>
          <w:b w:val="0"/>
          <w:sz w:val="16"/>
          <w:szCs w:val="16"/>
          <w:lang w:val="en-GB"/>
        </w:rPr>
        <w:t>Lenka</w:t>
      </w:r>
      <w:proofErr w:type="spellEnd"/>
      <w:r w:rsidRPr="00AF1E17">
        <w:rPr>
          <w:rFonts w:ascii="Arial" w:hAnsi="Arial" w:cs="Arial"/>
          <w:b w:val="0"/>
          <w:sz w:val="16"/>
          <w:szCs w:val="16"/>
          <w:lang w:val="en-GB"/>
        </w:rPr>
        <w:t xml:space="preserve"> </w:t>
      </w:r>
      <w:proofErr w:type="spellStart"/>
      <w:r w:rsidRPr="00AF1E17">
        <w:rPr>
          <w:rFonts w:ascii="Arial" w:hAnsi="Arial" w:cs="Arial"/>
          <w:b w:val="0"/>
          <w:sz w:val="16"/>
          <w:szCs w:val="16"/>
          <w:lang w:val="en-GB"/>
        </w:rPr>
        <w:t>Čermáková</w:t>
      </w:r>
      <w:proofErr w:type="spellEnd"/>
      <w:r w:rsidRPr="00AF1E17">
        <w:rPr>
          <w:rFonts w:ascii="Arial" w:hAnsi="Arial" w:cs="Arial"/>
          <w:b w:val="0"/>
          <w:sz w:val="16"/>
          <w:szCs w:val="16"/>
          <w:lang w:val="en-GB"/>
        </w:rPr>
        <w:tab/>
        <w:t xml:space="preserve">Roman </w:t>
      </w:r>
      <w:proofErr w:type="spellStart"/>
      <w:r w:rsidRPr="00AF1E17">
        <w:rPr>
          <w:rFonts w:ascii="Arial" w:hAnsi="Arial" w:cs="Arial"/>
          <w:b w:val="0"/>
          <w:sz w:val="16"/>
          <w:szCs w:val="16"/>
          <w:lang w:val="en-GB"/>
        </w:rPr>
        <w:t>Pavlík</w:t>
      </w:r>
      <w:proofErr w:type="spellEnd"/>
    </w:p>
    <w:p w:rsidR="002B5B60" w:rsidRPr="00AF1E17" w:rsidRDefault="002B5B60" w:rsidP="002B5B60">
      <w:pPr>
        <w:pStyle w:val="EYBodytextsubhead1"/>
        <w:tabs>
          <w:tab w:val="clear" w:pos="907"/>
          <w:tab w:val="left" w:pos="2548"/>
          <w:tab w:val="left" w:pos="6565"/>
        </w:tabs>
        <w:spacing w:after="0" w:line="240" w:lineRule="auto"/>
        <w:ind w:right="-85"/>
        <w:rPr>
          <w:rFonts w:ascii="Arial" w:hAnsi="Arial" w:cs="Arial"/>
          <w:b w:val="0"/>
          <w:sz w:val="16"/>
          <w:szCs w:val="16"/>
          <w:lang w:val="en-GB"/>
        </w:rPr>
      </w:pPr>
      <w:r w:rsidRPr="00AF1E17">
        <w:rPr>
          <w:rFonts w:ascii="Arial" w:hAnsi="Arial" w:cs="Arial"/>
          <w:b w:val="0"/>
          <w:sz w:val="16"/>
          <w:szCs w:val="16"/>
          <w:lang w:val="en-GB"/>
        </w:rPr>
        <w:tab/>
        <w:t>EY</w:t>
      </w:r>
      <w:r w:rsidRPr="00AF1E17">
        <w:rPr>
          <w:rFonts w:ascii="Arial" w:hAnsi="Arial" w:cs="Arial"/>
          <w:b w:val="0"/>
          <w:sz w:val="16"/>
          <w:szCs w:val="16"/>
          <w:lang w:val="en-GB"/>
        </w:rPr>
        <w:tab/>
        <w:t xml:space="preserve">Fleishman </w:t>
      </w:r>
      <w:proofErr w:type="spellStart"/>
      <w:r w:rsidRPr="00AF1E17">
        <w:rPr>
          <w:rFonts w:ascii="Arial" w:hAnsi="Arial" w:cs="Arial"/>
          <w:b w:val="0"/>
          <w:sz w:val="16"/>
          <w:szCs w:val="16"/>
          <w:lang w:val="en-GB"/>
        </w:rPr>
        <w:t>Hillard</w:t>
      </w:r>
      <w:proofErr w:type="spellEnd"/>
    </w:p>
    <w:p w:rsidR="002B5B60" w:rsidRPr="00AF1E17" w:rsidRDefault="002B5B60" w:rsidP="002B5B60">
      <w:pPr>
        <w:pStyle w:val="EYBodytextsubhead1"/>
        <w:tabs>
          <w:tab w:val="clear" w:pos="907"/>
          <w:tab w:val="left" w:pos="2548"/>
          <w:tab w:val="left" w:pos="6565"/>
        </w:tabs>
        <w:spacing w:after="0" w:line="240" w:lineRule="auto"/>
        <w:ind w:right="-85"/>
        <w:rPr>
          <w:rFonts w:ascii="Arial" w:hAnsi="Arial" w:cs="Arial"/>
          <w:b w:val="0"/>
          <w:sz w:val="16"/>
          <w:szCs w:val="16"/>
          <w:lang w:val="en-GB"/>
        </w:rPr>
      </w:pPr>
      <w:r w:rsidRPr="00AF1E17">
        <w:rPr>
          <w:rFonts w:ascii="Arial" w:hAnsi="Arial" w:cs="Arial"/>
          <w:b w:val="0"/>
          <w:sz w:val="16"/>
          <w:szCs w:val="16"/>
          <w:lang w:val="en-GB"/>
        </w:rPr>
        <w:tab/>
        <w:t>Tel.: +420 225 335 967</w:t>
      </w:r>
      <w:r w:rsidRPr="00AF1E17">
        <w:rPr>
          <w:rFonts w:ascii="Arial" w:hAnsi="Arial" w:cs="Arial"/>
          <w:b w:val="0"/>
          <w:sz w:val="16"/>
          <w:szCs w:val="16"/>
          <w:lang w:val="en-GB"/>
        </w:rPr>
        <w:tab/>
        <w:t>Tel.: +420 224 232 650</w:t>
      </w:r>
    </w:p>
    <w:p w:rsidR="002B5B60" w:rsidRPr="00EA1603" w:rsidRDefault="002B5B60" w:rsidP="002B5B60">
      <w:pPr>
        <w:pStyle w:val="EYBodytextsubhead1"/>
        <w:tabs>
          <w:tab w:val="clear" w:pos="907"/>
          <w:tab w:val="left" w:pos="2548"/>
          <w:tab w:val="left" w:pos="6565"/>
        </w:tabs>
        <w:spacing w:after="0" w:line="240" w:lineRule="auto"/>
        <w:ind w:right="-85"/>
        <w:rPr>
          <w:rFonts w:ascii="Arial" w:hAnsi="Arial" w:cs="Arial"/>
          <w:b w:val="0"/>
          <w:sz w:val="16"/>
          <w:szCs w:val="16"/>
          <w:lang w:val="fr-FR"/>
        </w:rPr>
      </w:pPr>
      <w:r w:rsidRPr="00AF1E17">
        <w:rPr>
          <w:rFonts w:ascii="Arial" w:hAnsi="Arial" w:cs="Arial"/>
          <w:b w:val="0"/>
          <w:sz w:val="16"/>
          <w:szCs w:val="16"/>
          <w:lang w:val="en-GB"/>
        </w:rPr>
        <w:tab/>
      </w:r>
      <w:r w:rsidRPr="00EA1603">
        <w:rPr>
          <w:rFonts w:ascii="Arial" w:hAnsi="Arial" w:cs="Arial"/>
          <w:b w:val="0"/>
          <w:sz w:val="16"/>
          <w:szCs w:val="16"/>
          <w:lang w:val="fr-FR"/>
        </w:rPr>
        <w:t>Mobil: +420 731 627 166</w:t>
      </w:r>
      <w:r w:rsidRPr="00EA1603">
        <w:rPr>
          <w:rFonts w:ascii="Arial" w:hAnsi="Arial" w:cs="Arial"/>
          <w:b w:val="0"/>
          <w:sz w:val="16"/>
          <w:szCs w:val="16"/>
          <w:lang w:val="fr-FR"/>
        </w:rPr>
        <w:tab/>
        <w:t>Mobil: +420 777 791 878</w:t>
      </w:r>
    </w:p>
    <w:p w:rsidR="002B5B60" w:rsidRPr="00EA1603" w:rsidRDefault="002B5B60" w:rsidP="002B5B60">
      <w:pPr>
        <w:pStyle w:val="EYBodytextsubhead1"/>
        <w:tabs>
          <w:tab w:val="clear" w:pos="907"/>
          <w:tab w:val="left" w:pos="2548"/>
          <w:tab w:val="left" w:pos="6565"/>
        </w:tabs>
        <w:spacing w:after="0" w:line="240" w:lineRule="auto"/>
        <w:ind w:right="-85"/>
        <w:rPr>
          <w:rFonts w:ascii="Arial" w:hAnsi="Arial" w:cs="Arial"/>
          <w:b w:val="0"/>
          <w:sz w:val="16"/>
          <w:szCs w:val="16"/>
          <w:lang w:val="fr-FR"/>
        </w:rPr>
      </w:pPr>
      <w:r w:rsidRPr="00EA1603">
        <w:rPr>
          <w:rFonts w:ascii="Arial" w:hAnsi="Arial" w:cs="Arial"/>
          <w:b w:val="0"/>
          <w:sz w:val="16"/>
          <w:szCs w:val="16"/>
          <w:lang w:val="fr-FR"/>
        </w:rPr>
        <w:tab/>
        <w:t>E-mail: lenka.cermakova@cz.ey.com</w:t>
      </w:r>
      <w:r w:rsidRPr="00EA1603">
        <w:rPr>
          <w:rFonts w:ascii="Arial" w:hAnsi="Arial" w:cs="Arial"/>
          <w:b w:val="0"/>
          <w:sz w:val="16"/>
          <w:szCs w:val="16"/>
          <w:lang w:val="fr-FR"/>
        </w:rPr>
        <w:tab/>
        <w:t>E-mail: pavlik@fleishman.com</w:t>
      </w:r>
    </w:p>
    <w:p w:rsidR="002B5B60" w:rsidRPr="00AF1E17" w:rsidRDefault="002B5B60" w:rsidP="002B5B60">
      <w:pPr>
        <w:pStyle w:val="EYBodytextwithparaspace"/>
        <w:tabs>
          <w:tab w:val="clear" w:pos="907"/>
        </w:tabs>
        <w:spacing w:after="0"/>
        <w:rPr>
          <w:rFonts w:cs="Arial"/>
          <w:b/>
          <w:sz w:val="26"/>
          <w:szCs w:val="26"/>
          <w:lang w:val="en-GB"/>
        </w:rPr>
      </w:pPr>
      <w:r w:rsidRPr="00EA1603">
        <w:rPr>
          <w:rFonts w:cs="Arial"/>
          <w:b/>
          <w:sz w:val="26"/>
          <w:szCs w:val="26"/>
        </w:rPr>
        <w:br/>
      </w:r>
      <w:r w:rsidR="00932CFC" w:rsidRPr="00AF1E17">
        <w:rPr>
          <w:rFonts w:cs="Arial"/>
          <w:b/>
          <w:sz w:val="26"/>
          <w:szCs w:val="26"/>
          <w:lang w:val="en-GB"/>
        </w:rPr>
        <w:t>The number of mergers and acquisitions in the Czech Republic has increased by 43% in H1 2013</w:t>
      </w:r>
    </w:p>
    <w:p w:rsidR="002B5B60" w:rsidRPr="00AF1E17" w:rsidRDefault="00932CFC" w:rsidP="002B5B60">
      <w:pPr>
        <w:pStyle w:val="ListParagraph"/>
        <w:numPr>
          <w:ilvl w:val="0"/>
          <w:numId w:val="8"/>
        </w:numPr>
        <w:autoSpaceDE w:val="0"/>
        <w:autoSpaceDN w:val="0"/>
        <w:adjustRightInd w:val="0"/>
        <w:spacing w:line="360" w:lineRule="auto"/>
        <w:rPr>
          <w:rFonts w:ascii="Arial" w:hAnsi="Arial" w:cs="Arial"/>
          <w:b/>
          <w:i/>
          <w:color w:val="000000"/>
          <w:sz w:val="22"/>
          <w:szCs w:val="22"/>
          <w:lang w:val="en-GB"/>
        </w:rPr>
      </w:pPr>
      <w:r w:rsidRPr="00AF1E17">
        <w:rPr>
          <w:rFonts w:ascii="Arial" w:hAnsi="Arial" w:cs="Arial"/>
          <w:b/>
          <w:i/>
          <w:color w:val="000000"/>
          <w:sz w:val="22"/>
          <w:szCs w:val="22"/>
          <w:lang w:val="en-GB"/>
        </w:rPr>
        <w:t xml:space="preserve">In the Central and South Eastern European (CSE) countries, the number of transactions has increased by </w:t>
      </w:r>
      <w:r w:rsidR="002B5B60" w:rsidRPr="00AF1E17">
        <w:rPr>
          <w:rFonts w:ascii="Arial" w:hAnsi="Arial" w:cs="Arial"/>
          <w:b/>
          <w:i/>
          <w:color w:val="000000"/>
          <w:sz w:val="22"/>
          <w:szCs w:val="22"/>
          <w:lang w:val="en-GB"/>
        </w:rPr>
        <w:t>20</w:t>
      </w:r>
      <w:r w:rsidRPr="00AF1E17">
        <w:rPr>
          <w:rFonts w:ascii="Arial" w:hAnsi="Arial" w:cs="Arial"/>
          <w:b/>
          <w:i/>
          <w:color w:val="000000"/>
          <w:sz w:val="22"/>
          <w:szCs w:val="22"/>
          <w:lang w:val="en-GB"/>
        </w:rPr>
        <w:t>.</w:t>
      </w:r>
      <w:r w:rsidR="002B5B60" w:rsidRPr="00AF1E17">
        <w:rPr>
          <w:rFonts w:ascii="Arial" w:hAnsi="Arial" w:cs="Arial"/>
          <w:b/>
          <w:i/>
          <w:color w:val="000000"/>
          <w:sz w:val="22"/>
          <w:szCs w:val="22"/>
          <w:lang w:val="en-GB"/>
        </w:rPr>
        <w:t>7%</w:t>
      </w:r>
    </w:p>
    <w:p w:rsidR="002B5B60" w:rsidRPr="00AF1E17" w:rsidRDefault="00932CFC" w:rsidP="002B5B60">
      <w:pPr>
        <w:pStyle w:val="ListParagraph"/>
        <w:numPr>
          <w:ilvl w:val="0"/>
          <w:numId w:val="8"/>
        </w:numPr>
        <w:autoSpaceDE w:val="0"/>
        <w:autoSpaceDN w:val="0"/>
        <w:adjustRightInd w:val="0"/>
        <w:spacing w:line="360" w:lineRule="auto"/>
        <w:rPr>
          <w:rFonts w:ascii="Arial" w:hAnsi="Arial" w:cs="Arial"/>
          <w:b/>
          <w:i/>
          <w:color w:val="000000"/>
          <w:sz w:val="22"/>
          <w:szCs w:val="22"/>
          <w:lang w:val="en-GB"/>
        </w:rPr>
      </w:pPr>
      <w:r w:rsidRPr="00AF1E17">
        <w:rPr>
          <w:rFonts w:ascii="Arial" w:hAnsi="Arial" w:cs="Arial"/>
          <w:b/>
          <w:i/>
          <w:color w:val="000000"/>
          <w:sz w:val="22"/>
          <w:szCs w:val="22"/>
          <w:lang w:val="en-GB"/>
        </w:rPr>
        <w:t>The Czech Republic is a strong regional investor by international comparison, having completed more outbound transactions than any other country in the CSE region</w:t>
      </w:r>
    </w:p>
    <w:p w:rsidR="002B5B60" w:rsidRPr="00AF1E17" w:rsidRDefault="00932CFC" w:rsidP="002B5B60">
      <w:pPr>
        <w:pStyle w:val="ListParagraph"/>
        <w:numPr>
          <w:ilvl w:val="0"/>
          <w:numId w:val="8"/>
        </w:numPr>
        <w:autoSpaceDE w:val="0"/>
        <w:autoSpaceDN w:val="0"/>
        <w:adjustRightInd w:val="0"/>
        <w:spacing w:line="360" w:lineRule="auto"/>
        <w:rPr>
          <w:b/>
          <w:i/>
          <w:lang w:val="en-GB"/>
        </w:rPr>
      </w:pPr>
      <w:r w:rsidRPr="00AF1E17">
        <w:rPr>
          <w:rFonts w:ascii="Arial" w:hAnsi="Arial" w:cs="Arial"/>
          <w:b/>
          <w:i/>
          <w:color w:val="000000"/>
          <w:sz w:val="22"/>
          <w:szCs w:val="22"/>
          <w:lang w:val="en-GB"/>
        </w:rPr>
        <w:t>The value of the disclosed transactions in the Czech Republic has increased, with the largest amounts having been invested in the manufacturing sector, services and real estate property</w:t>
      </w:r>
      <w:r w:rsidRPr="00AF1E17">
        <w:rPr>
          <w:b/>
          <w:i/>
          <w:lang w:val="en-GB"/>
        </w:rPr>
        <w:t xml:space="preserve"> </w:t>
      </w:r>
      <w:r w:rsidR="002B5B60" w:rsidRPr="00AF1E17">
        <w:rPr>
          <w:b/>
          <w:i/>
          <w:lang w:val="en-GB"/>
        </w:rPr>
        <w:br/>
      </w:r>
    </w:p>
    <w:p w:rsidR="002B5B60" w:rsidRPr="00AF1E17" w:rsidRDefault="002B5B60" w:rsidP="00372B29">
      <w:pPr>
        <w:autoSpaceDE w:val="0"/>
        <w:autoSpaceDN w:val="0"/>
        <w:adjustRightInd w:val="0"/>
        <w:spacing w:line="360" w:lineRule="auto"/>
        <w:rPr>
          <w:rFonts w:cs="Arial"/>
          <w:b/>
          <w:color w:val="000000"/>
          <w:sz w:val="22"/>
          <w:szCs w:val="22"/>
          <w:lang w:val="en-GB"/>
        </w:rPr>
      </w:pPr>
      <w:r w:rsidRPr="00BD1D9A">
        <w:rPr>
          <w:i/>
          <w:sz w:val="22"/>
          <w:lang w:val="en-GB"/>
        </w:rPr>
        <w:t>Pra</w:t>
      </w:r>
      <w:r w:rsidR="00932CFC" w:rsidRPr="00BD1D9A">
        <w:rPr>
          <w:i/>
          <w:sz w:val="22"/>
          <w:lang w:val="en-GB"/>
        </w:rPr>
        <w:t>gue</w:t>
      </w:r>
      <w:r w:rsidRPr="00BD1D9A">
        <w:rPr>
          <w:i/>
          <w:sz w:val="22"/>
          <w:lang w:val="en-GB"/>
        </w:rPr>
        <w:t>, 24</w:t>
      </w:r>
      <w:r w:rsidR="00932CFC" w:rsidRPr="00BD1D9A">
        <w:rPr>
          <w:i/>
          <w:sz w:val="22"/>
          <w:lang w:val="en-GB"/>
        </w:rPr>
        <w:t xml:space="preserve"> October</w:t>
      </w:r>
      <w:r w:rsidRPr="00BD1D9A">
        <w:rPr>
          <w:i/>
          <w:sz w:val="22"/>
          <w:lang w:val="en-GB"/>
        </w:rPr>
        <w:t xml:space="preserve"> 2013 –</w:t>
      </w:r>
      <w:r w:rsidRPr="00AF1E17">
        <w:rPr>
          <w:b/>
          <w:i/>
          <w:sz w:val="22"/>
          <w:lang w:val="en-GB"/>
        </w:rPr>
        <w:t xml:space="preserve"> </w:t>
      </w:r>
      <w:r w:rsidR="00372B29" w:rsidRPr="00AF1E17">
        <w:rPr>
          <w:rFonts w:cs="Arial"/>
          <w:b/>
          <w:color w:val="000000"/>
          <w:sz w:val="22"/>
          <w:szCs w:val="22"/>
          <w:lang w:val="en-GB"/>
        </w:rPr>
        <w:t xml:space="preserve">The mergers and acquisitions (M&amp;A) market in the Czech Republic outpaced in H1 2013 the market of the entire region of </w:t>
      </w:r>
      <w:r w:rsidR="00372B29" w:rsidRPr="00AF1E17">
        <w:rPr>
          <w:rFonts w:cs="Arial"/>
          <w:b/>
          <w:i/>
          <w:color w:val="000000"/>
          <w:sz w:val="22"/>
          <w:szCs w:val="22"/>
          <w:lang w:val="en-GB"/>
        </w:rPr>
        <w:t xml:space="preserve">Central and South Eastern Europe (CSE) </w:t>
      </w:r>
      <w:r w:rsidR="00072938" w:rsidRPr="00072938">
        <w:rPr>
          <w:rFonts w:cs="Arial"/>
          <w:b/>
          <w:color w:val="000000"/>
          <w:sz w:val="22"/>
          <w:szCs w:val="22"/>
          <w:lang w:val="en-GB"/>
        </w:rPr>
        <w:t>compared with H1 2012</w:t>
      </w:r>
      <w:r w:rsidR="00072938">
        <w:rPr>
          <w:rFonts w:cs="Arial"/>
          <w:b/>
          <w:i/>
          <w:color w:val="000000"/>
          <w:sz w:val="22"/>
          <w:szCs w:val="22"/>
          <w:lang w:val="en-GB"/>
        </w:rPr>
        <w:t xml:space="preserve"> </w:t>
      </w:r>
      <w:r w:rsidR="00372B29" w:rsidRPr="00AF1E17">
        <w:rPr>
          <w:rFonts w:cs="Arial"/>
          <w:b/>
          <w:color w:val="000000"/>
          <w:sz w:val="22"/>
          <w:szCs w:val="22"/>
          <w:lang w:val="en-GB"/>
        </w:rPr>
        <w:t xml:space="preserve">and, as </w:t>
      </w:r>
      <w:r w:rsidR="009878B5">
        <w:rPr>
          <w:rFonts w:cs="Arial"/>
          <w:b/>
          <w:color w:val="000000"/>
          <w:sz w:val="22"/>
          <w:szCs w:val="22"/>
          <w:lang w:val="en-GB"/>
        </w:rPr>
        <w:t>regards</w:t>
      </w:r>
      <w:r w:rsidR="00372B29" w:rsidRPr="00AF1E17">
        <w:rPr>
          <w:rFonts w:cs="Arial"/>
          <w:b/>
          <w:color w:val="000000"/>
          <w:sz w:val="22"/>
          <w:szCs w:val="22"/>
          <w:lang w:val="en-GB"/>
        </w:rPr>
        <w:t xml:space="preserve"> the number of completed transactions, posted its best result since the 2009 recession. This significant increase in transaction activity </w:t>
      </w:r>
      <w:r w:rsidR="009878B5">
        <w:rPr>
          <w:rFonts w:cs="Arial"/>
          <w:b/>
          <w:color w:val="000000"/>
          <w:sz w:val="22"/>
          <w:szCs w:val="22"/>
          <w:lang w:val="en-GB"/>
        </w:rPr>
        <w:t>stemmed from</w:t>
      </w:r>
      <w:r w:rsidR="00372B29" w:rsidRPr="00AF1E17">
        <w:rPr>
          <w:rFonts w:cs="Arial"/>
          <w:b/>
          <w:color w:val="000000"/>
          <w:sz w:val="22"/>
          <w:szCs w:val="22"/>
          <w:lang w:val="en-GB"/>
        </w:rPr>
        <w:t xml:space="preserve"> </w:t>
      </w:r>
      <w:r w:rsidR="00072938">
        <w:rPr>
          <w:rFonts w:cs="Arial"/>
          <w:b/>
          <w:color w:val="000000"/>
          <w:sz w:val="22"/>
          <w:szCs w:val="22"/>
          <w:lang w:val="en-GB"/>
        </w:rPr>
        <w:t xml:space="preserve">the </w:t>
      </w:r>
      <w:r w:rsidR="00372B29" w:rsidRPr="00AF1E17">
        <w:rPr>
          <w:rFonts w:cs="Arial"/>
          <w:b/>
          <w:color w:val="000000"/>
          <w:sz w:val="22"/>
          <w:szCs w:val="22"/>
          <w:lang w:val="en-GB"/>
        </w:rPr>
        <w:t xml:space="preserve">general </w:t>
      </w:r>
      <w:r w:rsidR="00072938">
        <w:rPr>
          <w:rFonts w:cs="Arial"/>
          <w:b/>
          <w:color w:val="000000"/>
          <w:sz w:val="22"/>
          <w:szCs w:val="22"/>
          <w:lang w:val="en-GB"/>
        </w:rPr>
        <w:t>trend</w:t>
      </w:r>
      <w:r w:rsidR="00372B29" w:rsidRPr="00AF1E17">
        <w:rPr>
          <w:rFonts w:cs="Arial"/>
          <w:b/>
          <w:color w:val="000000"/>
          <w:sz w:val="22"/>
          <w:szCs w:val="22"/>
          <w:lang w:val="en-GB"/>
        </w:rPr>
        <w:t xml:space="preserve"> in the Central Europe</w:t>
      </w:r>
      <w:r w:rsidR="009878B5">
        <w:rPr>
          <w:rFonts w:cs="Arial"/>
          <w:b/>
          <w:color w:val="000000"/>
          <w:sz w:val="22"/>
          <w:szCs w:val="22"/>
          <w:lang w:val="en-GB"/>
        </w:rPr>
        <w:t>an</w:t>
      </w:r>
      <w:r w:rsidR="00372B29" w:rsidRPr="00AF1E17">
        <w:rPr>
          <w:rFonts w:cs="Arial"/>
          <w:b/>
          <w:color w:val="000000"/>
          <w:sz w:val="22"/>
          <w:szCs w:val="22"/>
          <w:lang w:val="en-GB"/>
        </w:rPr>
        <w:t xml:space="preserve"> region as well as a marked </w:t>
      </w:r>
      <w:r w:rsidR="00072938">
        <w:rPr>
          <w:rFonts w:cs="Arial"/>
          <w:b/>
          <w:color w:val="000000"/>
          <w:sz w:val="22"/>
          <w:szCs w:val="22"/>
          <w:lang w:val="en-GB"/>
        </w:rPr>
        <w:t>success rate of transactions</w:t>
      </w:r>
      <w:r w:rsidR="00372B29" w:rsidRPr="00AF1E17">
        <w:rPr>
          <w:rFonts w:cs="Arial"/>
          <w:b/>
          <w:color w:val="000000"/>
          <w:sz w:val="22"/>
          <w:szCs w:val="22"/>
          <w:lang w:val="en-GB"/>
        </w:rPr>
        <w:t xml:space="preserve"> in sectors that were ignored last year, e.g. IT and chemicals.</w:t>
      </w:r>
    </w:p>
    <w:p w:rsidR="002B5B60" w:rsidRPr="00AF1E17" w:rsidRDefault="002B5B60" w:rsidP="002B5B60">
      <w:pPr>
        <w:autoSpaceDE w:val="0"/>
        <w:autoSpaceDN w:val="0"/>
        <w:adjustRightInd w:val="0"/>
        <w:spacing w:line="360" w:lineRule="auto"/>
        <w:rPr>
          <w:rFonts w:cs="Arial"/>
          <w:b/>
          <w:color w:val="000000"/>
          <w:sz w:val="22"/>
          <w:szCs w:val="22"/>
          <w:lang w:val="en-GB"/>
        </w:rPr>
      </w:pPr>
    </w:p>
    <w:p w:rsidR="002B5B60" w:rsidRDefault="00372B29" w:rsidP="002B5B60">
      <w:pPr>
        <w:autoSpaceDE w:val="0"/>
        <w:autoSpaceDN w:val="0"/>
        <w:adjustRightInd w:val="0"/>
        <w:spacing w:line="360" w:lineRule="auto"/>
        <w:rPr>
          <w:rFonts w:cs="Arial"/>
          <w:color w:val="000000"/>
          <w:sz w:val="22"/>
          <w:szCs w:val="22"/>
          <w:lang w:val="en-GB"/>
        </w:rPr>
      </w:pPr>
      <w:r w:rsidRPr="00AF1E17">
        <w:rPr>
          <w:rFonts w:cs="Arial"/>
          <w:color w:val="000000"/>
          <w:sz w:val="22"/>
          <w:szCs w:val="22"/>
          <w:lang w:val="en-GB"/>
        </w:rPr>
        <w:t>In H1 2013, Czech investors carried out 73 transactions, i.e. a 43% increase year on year, including 17 outbound acquisitions. When the 26 inbound transactions are included, there are 99 completed transactions for the first half of the year, the strongest showing in transaction activity since the economic downturn of 2009</w:t>
      </w:r>
      <w:r w:rsidR="002B5B60" w:rsidRPr="00AF1E17">
        <w:rPr>
          <w:rFonts w:cs="Arial"/>
          <w:color w:val="000000"/>
          <w:sz w:val="22"/>
          <w:szCs w:val="22"/>
          <w:lang w:val="en-GB"/>
        </w:rPr>
        <w:t xml:space="preserve">. </w:t>
      </w:r>
      <w:r w:rsidRPr="00AF1E17">
        <w:rPr>
          <w:rFonts w:cs="Arial"/>
          <w:color w:val="000000"/>
          <w:sz w:val="22"/>
          <w:szCs w:val="22"/>
          <w:lang w:val="en-GB"/>
        </w:rPr>
        <w:t xml:space="preserve">Deals with disclosed value in H1 amounted to USD 1.18 </w:t>
      </w:r>
      <w:proofErr w:type="spellStart"/>
      <w:r w:rsidRPr="00AF1E17">
        <w:rPr>
          <w:rFonts w:cs="Arial"/>
          <w:color w:val="000000"/>
          <w:sz w:val="22"/>
          <w:szCs w:val="22"/>
          <w:lang w:val="en-GB"/>
        </w:rPr>
        <w:t>bn</w:t>
      </w:r>
      <w:proofErr w:type="spellEnd"/>
      <w:r w:rsidRPr="00AF1E17">
        <w:rPr>
          <w:rFonts w:cs="Arial"/>
          <w:color w:val="000000"/>
          <w:sz w:val="22"/>
          <w:szCs w:val="22"/>
          <w:lang w:val="en-GB"/>
        </w:rPr>
        <w:t xml:space="preserve"> compared to USD 1.52 </w:t>
      </w:r>
      <w:proofErr w:type="spellStart"/>
      <w:r w:rsidRPr="00AF1E17">
        <w:rPr>
          <w:rFonts w:cs="Arial"/>
          <w:color w:val="000000"/>
          <w:sz w:val="22"/>
          <w:szCs w:val="22"/>
          <w:lang w:val="en-GB"/>
        </w:rPr>
        <w:t>bn</w:t>
      </w:r>
      <w:proofErr w:type="spellEnd"/>
      <w:r w:rsidRPr="00AF1E17">
        <w:rPr>
          <w:rFonts w:cs="Arial"/>
          <w:color w:val="000000"/>
          <w:sz w:val="22"/>
          <w:szCs w:val="22"/>
          <w:lang w:val="en-GB"/>
        </w:rPr>
        <w:t xml:space="preserve"> in the preceding year.</w:t>
      </w:r>
    </w:p>
    <w:p w:rsidR="009878B5" w:rsidRPr="009878B5" w:rsidRDefault="009878B5" w:rsidP="002B5B60">
      <w:pPr>
        <w:autoSpaceDE w:val="0"/>
        <w:autoSpaceDN w:val="0"/>
        <w:adjustRightInd w:val="0"/>
        <w:spacing w:line="360" w:lineRule="auto"/>
        <w:rPr>
          <w:rFonts w:cs="Arial"/>
          <w:color w:val="000000"/>
          <w:sz w:val="22"/>
          <w:szCs w:val="22"/>
          <w:lang w:val="en-GB"/>
        </w:rPr>
      </w:pPr>
    </w:p>
    <w:p w:rsidR="00BD1D9A" w:rsidRPr="00BD1D9A" w:rsidRDefault="00391F3D" w:rsidP="00372B29">
      <w:pPr>
        <w:autoSpaceDE w:val="0"/>
        <w:autoSpaceDN w:val="0"/>
        <w:adjustRightInd w:val="0"/>
        <w:spacing w:line="360" w:lineRule="auto"/>
        <w:rPr>
          <w:rFonts w:cs="Arial"/>
          <w:color w:val="000000"/>
          <w:sz w:val="22"/>
          <w:szCs w:val="22"/>
          <w:lang w:val="en-GB"/>
        </w:rPr>
      </w:pPr>
      <w:r w:rsidRPr="00BD1D9A">
        <w:rPr>
          <w:rFonts w:cs="Arial"/>
          <w:i/>
          <w:color w:val="000000"/>
          <w:sz w:val="22"/>
          <w:szCs w:val="22"/>
          <w:lang w:val="en-GB"/>
        </w:rPr>
        <w:t>“</w:t>
      </w:r>
      <w:r w:rsidR="006C7204" w:rsidRPr="00BD1D9A">
        <w:rPr>
          <w:rFonts w:cs="Arial"/>
          <w:i/>
          <w:color w:val="000000"/>
          <w:sz w:val="22"/>
          <w:szCs w:val="22"/>
          <w:lang w:val="en-GB"/>
        </w:rPr>
        <w:t xml:space="preserve">This unequivocally positive trend </w:t>
      </w:r>
      <w:r w:rsidR="0019677A" w:rsidRPr="00BD1D9A">
        <w:rPr>
          <w:rFonts w:cs="Arial"/>
          <w:i/>
          <w:color w:val="000000"/>
          <w:sz w:val="22"/>
          <w:szCs w:val="22"/>
          <w:lang w:val="en-GB"/>
        </w:rPr>
        <w:t>confirms three crucial factors: growing demand for acquisitions of Czech companies, an increase in the number of closed deals</w:t>
      </w:r>
      <w:r w:rsidR="009878B5" w:rsidRPr="00BD1D9A">
        <w:rPr>
          <w:rFonts w:cs="Arial"/>
          <w:i/>
          <w:color w:val="000000"/>
          <w:sz w:val="22"/>
          <w:szCs w:val="22"/>
          <w:lang w:val="en-GB"/>
        </w:rPr>
        <w:t>,</w:t>
      </w:r>
      <w:r w:rsidR="0019677A" w:rsidRPr="00BD1D9A">
        <w:rPr>
          <w:rFonts w:cs="Arial"/>
          <w:i/>
          <w:color w:val="000000"/>
          <w:sz w:val="22"/>
          <w:szCs w:val="22"/>
          <w:lang w:val="en-GB"/>
        </w:rPr>
        <w:t xml:space="preserve"> and boosted activity of Czech companies abroad. Sinc</w:t>
      </w:r>
      <w:r w:rsidR="009878B5" w:rsidRPr="00BD1D9A">
        <w:rPr>
          <w:rFonts w:cs="Arial"/>
          <w:i/>
          <w:color w:val="000000"/>
          <w:sz w:val="22"/>
          <w:szCs w:val="22"/>
          <w:lang w:val="en-GB"/>
        </w:rPr>
        <w:t xml:space="preserve">e no </w:t>
      </w:r>
      <w:r w:rsidR="002A3EB5" w:rsidRPr="00BD1D9A">
        <w:rPr>
          <w:rFonts w:cs="Arial"/>
          <w:i/>
          <w:color w:val="000000"/>
          <w:sz w:val="22"/>
          <w:szCs w:val="22"/>
          <w:lang w:val="en-GB"/>
        </w:rPr>
        <w:t xml:space="preserve">large </w:t>
      </w:r>
      <w:r w:rsidR="009878B5" w:rsidRPr="00BD1D9A">
        <w:rPr>
          <w:rFonts w:cs="Arial"/>
          <w:i/>
          <w:color w:val="000000"/>
          <w:sz w:val="22"/>
          <w:szCs w:val="22"/>
          <w:lang w:val="en-GB"/>
        </w:rPr>
        <w:t>company was sold, ho</w:t>
      </w:r>
      <w:r w:rsidR="0019677A" w:rsidRPr="00BD1D9A">
        <w:rPr>
          <w:rFonts w:cs="Arial"/>
          <w:i/>
          <w:color w:val="000000"/>
          <w:sz w:val="22"/>
          <w:szCs w:val="22"/>
          <w:lang w:val="en-GB"/>
        </w:rPr>
        <w:t>wever, the total value of the transaction</w:t>
      </w:r>
      <w:r w:rsidRPr="00BD1D9A">
        <w:rPr>
          <w:rFonts w:cs="Arial"/>
          <w:i/>
          <w:color w:val="000000"/>
          <w:sz w:val="22"/>
          <w:szCs w:val="22"/>
          <w:lang w:val="en-GB"/>
        </w:rPr>
        <w:t>s</w:t>
      </w:r>
      <w:r w:rsidR="0019677A" w:rsidRPr="00BD1D9A">
        <w:rPr>
          <w:rFonts w:cs="Arial"/>
          <w:i/>
          <w:color w:val="000000"/>
          <w:sz w:val="22"/>
          <w:szCs w:val="22"/>
          <w:lang w:val="en-GB"/>
        </w:rPr>
        <w:t xml:space="preserve"> is lower</w:t>
      </w:r>
      <w:r w:rsidR="009878B5" w:rsidRPr="00BD1D9A">
        <w:rPr>
          <w:rFonts w:cs="Arial"/>
          <w:i/>
          <w:color w:val="000000"/>
          <w:sz w:val="22"/>
          <w:szCs w:val="22"/>
          <w:lang w:val="en-GB"/>
        </w:rPr>
        <w:t xml:space="preserve"> </w:t>
      </w:r>
      <w:r w:rsidR="002A3EB5" w:rsidRPr="00BD1D9A">
        <w:rPr>
          <w:rFonts w:cs="Arial"/>
          <w:i/>
          <w:color w:val="000000"/>
          <w:sz w:val="22"/>
          <w:szCs w:val="22"/>
          <w:lang w:val="en-GB"/>
        </w:rPr>
        <w:t>than in t</w:t>
      </w:r>
      <w:r w:rsidR="009878B5" w:rsidRPr="00BD1D9A">
        <w:rPr>
          <w:rFonts w:cs="Arial"/>
          <w:i/>
          <w:color w:val="000000"/>
          <w:sz w:val="22"/>
          <w:szCs w:val="22"/>
          <w:lang w:val="en-GB"/>
        </w:rPr>
        <w:t>he previous year.</w:t>
      </w:r>
      <w:r w:rsidR="0019677A" w:rsidRPr="00BD1D9A">
        <w:rPr>
          <w:rFonts w:cs="Arial"/>
          <w:i/>
          <w:color w:val="000000"/>
          <w:sz w:val="22"/>
          <w:szCs w:val="22"/>
          <w:lang w:val="en-GB"/>
        </w:rPr>
        <w:t xml:space="preserve"> </w:t>
      </w:r>
      <w:r w:rsidR="009878B5" w:rsidRPr="00BD1D9A">
        <w:rPr>
          <w:rFonts w:cs="Arial"/>
          <w:i/>
          <w:color w:val="000000"/>
          <w:sz w:val="22"/>
          <w:szCs w:val="22"/>
          <w:lang w:val="en-GB"/>
        </w:rPr>
        <w:t xml:space="preserve">This is because the statistics do </w:t>
      </w:r>
      <w:r w:rsidR="009878B5" w:rsidRPr="00BD1D9A">
        <w:rPr>
          <w:rFonts w:cs="Arial"/>
          <w:i/>
          <w:color w:val="000000"/>
          <w:sz w:val="22"/>
          <w:szCs w:val="22"/>
          <w:lang w:val="en-GB"/>
        </w:rPr>
        <w:lastRenderedPageBreak/>
        <w:t>not include</w:t>
      </w:r>
      <w:r w:rsidR="0019677A" w:rsidRPr="00BD1D9A">
        <w:rPr>
          <w:rFonts w:cs="Arial"/>
          <w:i/>
          <w:sz w:val="22"/>
          <w:szCs w:val="22"/>
          <w:lang w:val="en-GB"/>
        </w:rPr>
        <w:t xml:space="preserve"> the acquisition of Net4Gas (deal value of USD 2.05 </w:t>
      </w:r>
      <w:proofErr w:type="spellStart"/>
      <w:r w:rsidR="009878B5" w:rsidRPr="00BD1D9A">
        <w:rPr>
          <w:rFonts w:cs="Arial"/>
          <w:i/>
          <w:sz w:val="22"/>
          <w:szCs w:val="22"/>
          <w:lang w:val="en-GB"/>
        </w:rPr>
        <w:t>bn</w:t>
      </w:r>
      <w:proofErr w:type="spellEnd"/>
      <w:r w:rsidR="009878B5" w:rsidRPr="00BD1D9A">
        <w:rPr>
          <w:rFonts w:cs="Arial"/>
          <w:i/>
          <w:sz w:val="22"/>
          <w:szCs w:val="22"/>
          <w:lang w:val="en-GB"/>
        </w:rPr>
        <w:t>) that</w:t>
      </w:r>
      <w:r w:rsidR="0019677A" w:rsidRPr="00BD1D9A">
        <w:rPr>
          <w:rFonts w:cs="Arial"/>
          <w:i/>
          <w:sz w:val="22"/>
          <w:szCs w:val="22"/>
          <w:lang w:val="en-GB"/>
        </w:rPr>
        <w:t xml:space="preserve"> had not been completed by the H1 end</w:t>
      </w:r>
      <w:proofErr w:type="gramStart"/>
      <w:r w:rsidR="00BD1D9A">
        <w:rPr>
          <w:rFonts w:cs="Arial"/>
          <w:i/>
          <w:sz w:val="22"/>
          <w:szCs w:val="22"/>
          <w:lang w:val="en-GB"/>
        </w:rPr>
        <w:t>,</w:t>
      </w:r>
      <w:r w:rsidRPr="00BD1D9A">
        <w:rPr>
          <w:rFonts w:cs="Arial"/>
          <w:i/>
          <w:sz w:val="22"/>
          <w:szCs w:val="22"/>
          <w:lang w:val="en-GB"/>
        </w:rPr>
        <w:t>“</w:t>
      </w:r>
      <w:proofErr w:type="gramEnd"/>
      <w:r w:rsidR="009878B5" w:rsidRPr="00BD1D9A">
        <w:rPr>
          <w:rFonts w:cs="Arial"/>
          <w:color w:val="000000"/>
          <w:sz w:val="22"/>
          <w:szCs w:val="22"/>
          <w:lang w:val="en-GB"/>
        </w:rPr>
        <w:t xml:space="preserve"> says Petra </w:t>
      </w:r>
      <w:proofErr w:type="spellStart"/>
      <w:r w:rsidR="009878B5" w:rsidRPr="00BD1D9A">
        <w:rPr>
          <w:rFonts w:cs="Arial"/>
          <w:color w:val="000000"/>
          <w:sz w:val="22"/>
          <w:szCs w:val="22"/>
          <w:lang w:val="en-GB"/>
        </w:rPr>
        <w:t>Wendelová</w:t>
      </w:r>
      <w:proofErr w:type="spellEnd"/>
      <w:r w:rsidR="009878B5" w:rsidRPr="00BD1D9A">
        <w:rPr>
          <w:rFonts w:cs="Arial"/>
          <w:color w:val="000000"/>
          <w:sz w:val="22"/>
          <w:szCs w:val="22"/>
          <w:lang w:val="en-GB"/>
        </w:rPr>
        <w:t xml:space="preserve">, </w:t>
      </w:r>
      <w:r w:rsidR="00BD1D9A" w:rsidRPr="00BD1D9A">
        <w:rPr>
          <w:rFonts w:cs="Arial"/>
          <w:color w:val="000000"/>
          <w:sz w:val="22"/>
          <w:szCs w:val="22"/>
          <w:lang w:val="en-GB"/>
        </w:rPr>
        <w:t>Partner for mergers and acquisitions at EY in the Czech Republic.</w:t>
      </w:r>
    </w:p>
    <w:p w:rsidR="00BD1D9A" w:rsidRDefault="00BD1D9A" w:rsidP="00372B29">
      <w:pPr>
        <w:autoSpaceDE w:val="0"/>
        <w:autoSpaceDN w:val="0"/>
        <w:adjustRightInd w:val="0"/>
        <w:spacing w:line="360" w:lineRule="auto"/>
        <w:rPr>
          <w:rFonts w:ascii="Verdana" w:hAnsi="Verdana"/>
          <w:color w:val="868686"/>
          <w:sz w:val="18"/>
          <w:szCs w:val="18"/>
          <w:shd w:val="clear" w:color="auto" w:fill="FFFFFF"/>
        </w:rPr>
      </w:pPr>
    </w:p>
    <w:p w:rsidR="00BD1D9A" w:rsidRPr="00615800" w:rsidRDefault="00372B29" w:rsidP="00BD1D9A">
      <w:pPr>
        <w:autoSpaceDE w:val="0"/>
        <w:autoSpaceDN w:val="0"/>
        <w:adjustRightInd w:val="0"/>
        <w:spacing w:line="360" w:lineRule="auto"/>
        <w:rPr>
          <w:rFonts w:cs="Arial"/>
          <w:color w:val="000000"/>
          <w:sz w:val="22"/>
          <w:szCs w:val="22"/>
        </w:rPr>
      </w:pPr>
      <w:r w:rsidRPr="00AF1E17">
        <w:rPr>
          <w:rFonts w:cs="Arial"/>
          <w:color w:val="000000"/>
          <w:sz w:val="22"/>
          <w:szCs w:val="22"/>
          <w:lang w:val="en-GB"/>
        </w:rPr>
        <w:t>The Czech Republic is a strong regional investor by international comparison, having completed more outbound transactions than any other country in the CSE region</w:t>
      </w:r>
      <w:r w:rsidR="002B5B60" w:rsidRPr="00AF1E17">
        <w:rPr>
          <w:rFonts w:cs="Arial"/>
          <w:color w:val="000000"/>
          <w:sz w:val="22"/>
          <w:szCs w:val="22"/>
          <w:lang w:val="en-GB"/>
        </w:rPr>
        <w:t>.</w:t>
      </w:r>
      <w:r w:rsidRPr="00AF1E17">
        <w:rPr>
          <w:rFonts w:cs="Arial"/>
          <w:i/>
          <w:color w:val="000000"/>
          <w:sz w:val="22"/>
          <w:szCs w:val="22"/>
          <w:lang w:val="en-GB"/>
        </w:rPr>
        <w:t xml:space="preserve"> “The interest of Czech companies in outbound investments has been steadily increasing for several years now</w:t>
      </w:r>
      <w:r w:rsidR="002B5B60" w:rsidRPr="00AF1E17">
        <w:rPr>
          <w:rFonts w:cs="Arial"/>
          <w:i/>
          <w:color w:val="000000"/>
          <w:sz w:val="22"/>
          <w:szCs w:val="22"/>
          <w:lang w:val="en-GB"/>
        </w:rPr>
        <w:t xml:space="preserve">. </w:t>
      </w:r>
      <w:r w:rsidR="00072938">
        <w:rPr>
          <w:rFonts w:cs="Arial"/>
          <w:i/>
          <w:color w:val="000000"/>
          <w:sz w:val="22"/>
          <w:szCs w:val="22"/>
          <w:lang w:val="en-GB"/>
        </w:rPr>
        <w:t xml:space="preserve">For example, </w:t>
      </w:r>
      <w:r w:rsidRPr="00AF1E17">
        <w:rPr>
          <w:rFonts w:cs="Arial"/>
          <w:i/>
          <w:color w:val="000000"/>
          <w:sz w:val="22"/>
          <w:szCs w:val="22"/>
          <w:lang w:val="en-GB"/>
        </w:rPr>
        <w:t>the Czech Republic is currently the second strongest investor</w:t>
      </w:r>
      <w:r w:rsidR="00072938" w:rsidRPr="00072938">
        <w:rPr>
          <w:rFonts w:cs="Arial"/>
          <w:i/>
          <w:color w:val="000000"/>
          <w:sz w:val="22"/>
          <w:szCs w:val="22"/>
          <w:lang w:val="en-GB"/>
        </w:rPr>
        <w:t xml:space="preserve"> </w:t>
      </w:r>
      <w:r w:rsidR="00072938">
        <w:rPr>
          <w:rFonts w:cs="Arial"/>
          <w:i/>
          <w:color w:val="000000"/>
          <w:sz w:val="22"/>
          <w:szCs w:val="22"/>
          <w:lang w:val="en-GB"/>
        </w:rPr>
        <w:t>in Hungary</w:t>
      </w:r>
      <w:r w:rsidRPr="00AF1E17">
        <w:rPr>
          <w:rFonts w:cs="Arial"/>
          <w:i/>
          <w:color w:val="000000"/>
          <w:sz w:val="22"/>
          <w:szCs w:val="22"/>
          <w:lang w:val="en-GB"/>
        </w:rPr>
        <w:t xml:space="preserve">. Czech </w:t>
      </w:r>
      <w:r w:rsidR="00391F3D">
        <w:rPr>
          <w:rFonts w:cs="Arial"/>
          <w:i/>
          <w:color w:val="000000"/>
          <w:sz w:val="22"/>
          <w:szCs w:val="22"/>
          <w:lang w:val="en-GB"/>
        </w:rPr>
        <w:t>(</w:t>
      </w:r>
      <w:r w:rsidRPr="00AF1E17">
        <w:rPr>
          <w:rFonts w:cs="Arial"/>
          <w:i/>
          <w:color w:val="000000"/>
          <w:sz w:val="22"/>
          <w:szCs w:val="22"/>
          <w:lang w:val="en-GB"/>
        </w:rPr>
        <w:t xml:space="preserve">and </w:t>
      </w:r>
      <w:r w:rsidRPr="00391F3D">
        <w:rPr>
          <w:rFonts w:cs="Arial"/>
          <w:i/>
          <w:color w:val="000000"/>
          <w:sz w:val="22"/>
          <w:szCs w:val="22"/>
          <w:lang w:val="en-GB"/>
        </w:rPr>
        <w:t>Polish</w:t>
      </w:r>
      <w:r w:rsidR="00391F3D">
        <w:rPr>
          <w:rFonts w:cs="Arial"/>
          <w:i/>
          <w:color w:val="000000"/>
          <w:sz w:val="22"/>
          <w:szCs w:val="22"/>
          <w:lang w:val="en-GB"/>
        </w:rPr>
        <w:t>)</w:t>
      </w:r>
      <w:r w:rsidRPr="00AF1E17">
        <w:rPr>
          <w:rFonts w:cs="Arial"/>
          <w:i/>
          <w:color w:val="000000"/>
          <w:sz w:val="22"/>
          <w:szCs w:val="22"/>
          <w:lang w:val="en-GB"/>
        </w:rPr>
        <w:t xml:space="preserve"> companies traditionally also enjoy a good reputation in the Balkans, where they have been recently very active</w:t>
      </w:r>
      <w:r w:rsidR="002B5B60" w:rsidRPr="00AF1E17">
        <w:rPr>
          <w:rFonts w:cs="Arial"/>
          <w:i/>
          <w:color w:val="000000"/>
          <w:sz w:val="22"/>
          <w:szCs w:val="22"/>
          <w:lang w:val="en-GB"/>
        </w:rPr>
        <w:t xml:space="preserve">. </w:t>
      </w:r>
      <w:r w:rsidRPr="00AF1E17">
        <w:rPr>
          <w:rFonts w:cs="Arial"/>
          <w:i/>
          <w:color w:val="000000"/>
          <w:sz w:val="22"/>
          <w:szCs w:val="22"/>
          <w:lang w:val="en-GB"/>
        </w:rPr>
        <w:t xml:space="preserve">A Czech investor is perceived in this region </w:t>
      </w:r>
      <w:r w:rsidR="00977D23" w:rsidRPr="00AF1E17">
        <w:rPr>
          <w:rFonts w:cs="Arial"/>
          <w:i/>
          <w:color w:val="000000"/>
          <w:sz w:val="22"/>
          <w:szCs w:val="22"/>
          <w:lang w:val="en-GB"/>
        </w:rPr>
        <w:t>as a carrier of innovations, capital and Western technologies</w:t>
      </w:r>
      <w:r w:rsidR="002B5B60" w:rsidRPr="00AF1E17">
        <w:rPr>
          <w:rFonts w:cs="Arial"/>
          <w:i/>
          <w:color w:val="000000"/>
          <w:sz w:val="22"/>
          <w:szCs w:val="22"/>
          <w:lang w:val="en-GB"/>
        </w:rPr>
        <w:t xml:space="preserve">. </w:t>
      </w:r>
      <w:r w:rsidR="00977D23" w:rsidRPr="00AF1E17">
        <w:rPr>
          <w:rFonts w:cs="Arial"/>
          <w:i/>
          <w:color w:val="000000"/>
          <w:sz w:val="22"/>
          <w:szCs w:val="22"/>
          <w:lang w:val="en-GB"/>
        </w:rPr>
        <w:t xml:space="preserve">However, there are also technology predators, such as </w:t>
      </w:r>
      <w:proofErr w:type="spellStart"/>
      <w:r w:rsidR="00977D23" w:rsidRPr="00AF1E17">
        <w:rPr>
          <w:rFonts w:cs="Arial"/>
          <w:i/>
          <w:color w:val="000000"/>
          <w:sz w:val="22"/>
          <w:szCs w:val="22"/>
          <w:lang w:val="en-GB"/>
        </w:rPr>
        <w:t>Tescan</w:t>
      </w:r>
      <w:proofErr w:type="spellEnd"/>
      <w:r w:rsidR="00977D23" w:rsidRPr="00AF1E17">
        <w:rPr>
          <w:rFonts w:cs="Arial"/>
          <w:i/>
          <w:color w:val="000000"/>
          <w:sz w:val="22"/>
          <w:szCs w:val="22"/>
          <w:lang w:val="en-GB"/>
        </w:rPr>
        <w:t xml:space="preserve"> from Brno, that actively seek acquisition targets </w:t>
      </w:r>
      <w:r w:rsidR="00742C71" w:rsidRPr="00AF1E17">
        <w:rPr>
          <w:rFonts w:cs="Arial"/>
          <w:i/>
          <w:color w:val="000000"/>
          <w:sz w:val="22"/>
          <w:szCs w:val="22"/>
          <w:lang w:val="en-GB"/>
        </w:rPr>
        <w:t xml:space="preserve">virtually </w:t>
      </w:r>
      <w:r w:rsidR="00977D23" w:rsidRPr="00AF1E17">
        <w:rPr>
          <w:rFonts w:cs="Arial"/>
          <w:i/>
          <w:color w:val="000000"/>
          <w:sz w:val="22"/>
          <w:szCs w:val="22"/>
          <w:lang w:val="en-GB"/>
        </w:rPr>
        <w:t xml:space="preserve">all over </w:t>
      </w:r>
      <w:r w:rsidR="00742C71" w:rsidRPr="00AF1E17">
        <w:rPr>
          <w:rFonts w:cs="Arial"/>
          <w:i/>
          <w:color w:val="000000"/>
          <w:sz w:val="22"/>
          <w:szCs w:val="22"/>
          <w:lang w:val="en-GB"/>
        </w:rPr>
        <w:t>the world</w:t>
      </w:r>
      <w:r w:rsidR="002B5B60" w:rsidRPr="00AF1E17">
        <w:rPr>
          <w:rFonts w:cs="Arial"/>
          <w:i/>
          <w:color w:val="000000"/>
          <w:sz w:val="22"/>
          <w:szCs w:val="22"/>
          <w:lang w:val="en-GB"/>
        </w:rPr>
        <w:t>,</w:t>
      </w:r>
      <w:r w:rsidRPr="00AF1E17">
        <w:rPr>
          <w:rFonts w:cs="Arial"/>
          <w:i/>
          <w:color w:val="000000"/>
          <w:sz w:val="22"/>
          <w:szCs w:val="22"/>
          <w:lang w:val="en-GB"/>
        </w:rPr>
        <w:t xml:space="preserve">” </w:t>
      </w:r>
      <w:r w:rsidRPr="00AF1E17">
        <w:rPr>
          <w:rFonts w:cs="Arial"/>
          <w:color w:val="000000"/>
          <w:sz w:val="22"/>
          <w:szCs w:val="22"/>
          <w:lang w:val="en-GB"/>
        </w:rPr>
        <w:t xml:space="preserve">says </w:t>
      </w:r>
      <w:proofErr w:type="spellStart"/>
      <w:r w:rsidR="002B5B60" w:rsidRPr="00AF1E17">
        <w:rPr>
          <w:rFonts w:cs="Arial"/>
          <w:color w:val="000000"/>
          <w:sz w:val="22"/>
          <w:szCs w:val="22"/>
          <w:lang w:val="en-GB"/>
        </w:rPr>
        <w:t>Petr</w:t>
      </w:r>
      <w:proofErr w:type="spellEnd"/>
      <w:r w:rsidR="002B5B60" w:rsidRPr="00AF1E17">
        <w:rPr>
          <w:rFonts w:cs="Arial"/>
          <w:color w:val="000000"/>
          <w:sz w:val="22"/>
          <w:szCs w:val="22"/>
          <w:lang w:val="en-GB"/>
        </w:rPr>
        <w:t xml:space="preserve"> </w:t>
      </w:r>
      <w:proofErr w:type="spellStart"/>
      <w:r w:rsidR="002B5B60" w:rsidRPr="00AF1E17">
        <w:rPr>
          <w:rFonts w:cs="Arial"/>
          <w:color w:val="000000"/>
          <w:sz w:val="22"/>
          <w:szCs w:val="22"/>
          <w:lang w:val="en-GB"/>
        </w:rPr>
        <w:t>Kříž</w:t>
      </w:r>
      <w:proofErr w:type="spellEnd"/>
      <w:r w:rsidR="002B5B60" w:rsidRPr="00AF1E17">
        <w:rPr>
          <w:rFonts w:cs="Arial"/>
          <w:color w:val="000000"/>
          <w:sz w:val="22"/>
          <w:szCs w:val="22"/>
          <w:lang w:val="en-GB"/>
        </w:rPr>
        <w:t xml:space="preserve">, </w:t>
      </w:r>
      <w:r w:rsidR="00BD1D9A">
        <w:rPr>
          <w:rFonts w:cs="Arial"/>
          <w:color w:val="000000"/>
          <w:sz w:val="22"/>
          <w:szCs w:val="22"/>
        </w:rPr>
        <w:t>Executive Director, Transaction Advisory S</w:t>
      </w:r>
      <w:r w:rsidR="00BD1D9A" w:rsidRPr="00615800">
        <w:rPr>
          <w:rFonts w:cs="Arial"/>
          <w:color w:val="000000"/>
          <w:sz w:val="22"/>
          <w:szCs w:val="22"/>
        </w:rPr>
        <w:t xml:space="preserve">ervices, </w:t>
      </w:r>
      <w:proofErr w:type="gramStart"/>
      <w:r w:rsidR="00BD1D9A">
        <w:rPr>
          <w:rFonts w:cs="Arial"/>
          <w:color w:val="000000"/>
          <w:sz w:val="22"/>
          <w:szCs w:val="22"/>
        </w:rPr>
        <w:t>EY</w:t>
      </w:r>
      <w:proofErr w:type="gramEnd"/>
      <w:r w:rsidR="00BD1D9A" w:rsidRPr="00615800">
        <w:rPr>
          <w:rFonts w:cs="Arial"/>
          <w:color w:val="000000"/>
          <w:sz w:val="22"/>
          <w:szCs w:val="22"/>
        </w:rPr>
        <w:t xml:space="preserve"> in the Czech Republic.</w:t>
      </w:r>
      <w:r w:rsidR="00BD1D9A" w:rsidRPr="00615800">
        <w:rPr>
          <w:rFonts w:cs="Arial"/>
          <w:i/>
          <w:color w:val="000000"/>
          <w:sz w:val="22"/>
          <w:szCs w:val="22"/>
        </w:rPr>
        <w:t xml:space="preserve"> </w:t>
      </w:r>
      <w:r w:rsidR="00BD1D9A" w:rsidRPr="00615800">
        <w:rPr>
          <w:rFonts w:cs="Arial"/>
          <w:color w:val="000000"/>
          <w:sz w:val="22"/>
          <w:szCs w:val="22"/>
        </w:rPr>
        <w:t xml:space="preserve"> </w:t>
      </w:r>
    </w:p>
    <w:p w:rsidR="002B5B60" w:rsidRPr="00AF1E17" w:rsidRDefault="002B5B60" w:rsidP="00372B29">
      <w:pPr>
        <w:autoSpaceDE w:val="0"/>
        <w:autoSpaceDN w:val="0"/>
        <w:adjustRightInd w:val="0"/>
        <w:spacing w:line="360" w:lineRule="auto"/>
        <w:rPr>
          <w:rFonts w:cs="Arial"/>
          <w:color w:val="000000"/>
          <w:sz w:val="22"/>
          <w:szCs w:val="22"/>
          <w:lang w:val="en-GB"/>
        </w:rPr>
      </w:pPr>
    </w:p>
    <w:p w:rsidR="002B5B60" w:rsidRPr="00AF1E17" w:rsidRDefault="003D67FE" w:rsidP="002B5B60">
      <w:pPr>
        <w:autoSpaceDE w:val="0"/>
        <w:autoSpaceDN w:val="0"/>
        <w:adjustRightInd w:val="0"/>
        <w:spacing w:line="360" w:lineRule="auto"/>
        <w:rPr>
          <w:rFonts w:cs="Arial"/>
          <w:b/>
          <w:color w:val="000000"/>
          <w:sz w:val="22"/>
          <w:szCs w:val="22"/>
          <w:lang w:val="en-GB"/>
        </w:rPr>
      </w:pPr>
      <w:r w:rsidRPr="00AF1E17">
        <w:rPr>
          <w:rFonts w:cs="Arial"/>
          <w:b/>
          <w:color w:val="000000"/>
          <w:sz w:val="22"/>
          <w:szCs w:val="22"/>
          <w:lang w:val="en-GB"/>
        </w:rPr>
        <w:t>Estimated</w:t>
      </w:r>
      <w:r w:rsidR="002B5B60" w:rsidRPr="00AF1E17">
        <w:rPr>
          <w:rFonts w:cs="Arial"/>
          <w:b/>
          <w:color w:val="000000"/>
          <w:sz w:val="22"/>
          <w:szCs w:val="22"/>
          <w:lang w:val="en-GB"/>
        </w:rPr>
        <w:t xml:space="preserve"> M&amp;A </w:t>
      </w:r>
      <w:r w:rsidRPr="00AF1E17">
        <w:rPr>
          <w:rFonts w:cs="Arial"/>
          <w:b/>
          <w:color w:val="000000"/>
          <w:sz w:val="22"/>
          <w:szCs w:val="22"/>
          <w:lang w:val="en-GB"/>
        </w:rPr>
        <w:t>market size in the Czech Republic</w:t>
      </w:r>
    </w:p>
    <w:p w:rsidR="002B5B60" w:rsidRPr="00AF1E17" w:rsidRDefault="003D67FE" w:rsidP="003D67FE">
      <w:pPr>
        <w:autoSpaceDE w:val="0"/>
        <w:autoSpaceDN w:val="0"/>
        <w:adjustRightInd w:val="0"/>
        <w:spacing w:line="360" w:lineRule="auto"/>
        <w:rPr>
          <w:rFonts w:cs="Arial"/>
          <w:color w:val="000000"/>
          <w:sz w:val="22"/>
          <w:szCs w:val="22"/>
          <w:lang w:val="en-GB"/>
        </w:rPr>
      </w:pPr>
      <w:r w:rsidRPr="00AF1E17">
        <w:rPr>
          <w:rFonts w:cs="Arial"/>
          <w:color w:val="000000"/>
          <w:sz w:val="22"/>
          <w:szCs w:val="22"/>
          <w:lang w:val="en-GB"/>
        </w:rPr>
        <w:t xml:space="preserve">The Czech M&amp;A market shrank on a year-over-year basis </w:t>
      </w:r>
      <w:r w:rsidR="00845A9D" w:rsidRPr="00AF1E17">
        <w:rPr>
          <w:rFonts w:cs="Arial"/>
          <w:color w:val="000000"/>
          <w:sz w:val="22"/>
          <w:szCs w:val="22"/>
          <w:lang w:val="en-GB"/>
        </w:rPr>
        <w:t xml:space="preserve">by </w:t>
      </w:r>
      <w:r w:rsidRPr="00AF1E17">
        <w:rPr>
          <w:rFonts w:cs="Arial"/>
          <w:color w:val="000000"/>
          <w:sz w:val="22"/>
          <w:szCs w:val="22"/>
          <w:lang w:val="en-GB"/>
        </w:rPr>
        <w:t xml:space="preserve">14.8% to 2.34 </w:t>
      </w:r>
      <w:proofErr w:type="spellStart"/>
      <w:r w:rsidRPr="00AF1E17">
        <w:rPr>
          <w:rFonts w:cs="Arial"/>
          <w:color w:val="000000"/>
          <w:sz w:val="22"/>
          <w:szCs w:val="22"/>
          <w:lang w:val="en-GB"/>
        </w:rPr>
        <w:t>bn</w:t>
      </w:r>
      <w:proofErr w:type="spellEnd"/>
      <w:r w:rsidRPr="00AF1E17">
        <w:rPr>
          <w:rFonts w:cs="Arial"/>
          <w:color w:val="000000"/>
          <w:sz w:val="22"/>
          <w:szCs w:val="22"/>
          <w:lang w:val="en-GB"/>
        </w:rPr>
        <w:t xml:space="preserve"> due to fewer large transactions. Average transaction value (where disclosed) fell by more than half to USD 47</w:t>
      </w:r>
      <w:r w:rsidR="00845A9D" w:rsidRPr="00AF1E17">
        <w:rPr>
          <w:rFonts w:cs="Arial"/>
          <w:color w:val="000000"/>
          <w:sz w:val="22"/>
          <w:szCs w:val="22"/>
          <w:lang w:val="en-GB"/>
        </w:rPr>
        <w:t xml:space="preserve"> </w:t>
      </w:r>
      <w:r w:rsidRPr="00AF1E17">
        <w:rPr>
          <w:rFonts w:cs="Arial"/>
          <w:color w:val="000000"/>
          <w:sz w:val="22"/>
          <w:szCs w:val="22"/>
          <w:lang w:val="en-GB"/>
        </w:rPr>
        <w:t>m. Transaction value was disclosed in 25% of deals in H1, making the disclosure rate 3</w:t>
      </w:r>
      <w:r w:rsidR="00845A9D" w:rsidRPr="00AF1E17">
        <w:rPr>
          <w:rFonts w:cs="Arial"/>
          <w:color w:val="000000"/>
          <w:sz w:val="22"/>
          <w:szCs w:val="22"/>
          <w:lang w:val="en-GB"/>
        </w:rPr>
        <w:t>%</w:t>
      </w:r>
      <w:r w:rsidRPr="00AF1E17">
        <w:rPr>
          <w:rFonts w:cs="Arial"/>
          <w:color w:val="000000"/>
          <w:sz w:val="22"/>
          <w:szCs w:val="22"/>
          <w:lang w:val="en-GB"/>
        </w:rPr>
        <w:t xml:space="preserve"> higher </w:t>
      </w:r>
      <w:r w:rsidR="00845A9D" w:rsidRPr="00AF1E17">
        <w:rPr>
          <w:rFonts w:cs="Arial"/>
          <w:color w:val="000000"/>
          <w:sz w:val="22"/>
          <w:szCs w:val="22"/>
          <w:lang w:val="en-GB"/>
        </w:rPr>
        <w:t>on a year-over-year basis</w:t>
      </w:r>
      <w:r w:rsidR="002B5B60" w:rsidRPr="00AF1E17">
        <w:rPr>
          <w:rFonts w:cs="Arial"/>
          <w:color w:val="000000"/>
          <w:sz w:val="22"/>
          <w:szCs w:val="22"/>
          <w:lang w:val="en-GB"/>
        </w:rPr>
        <w:t xml:space="preserve">. </w:t>
      </w:r>
    </w:p>
    <w:p w:rsidR="002B5B60" w:rsidRPr="00AF1E17" w:rsidRDefault="002B5B60" w:rsidP="002B5B60">
      <w:pPr>
        <w:autoSpaceDE w:val="0"/>
        <w:autoSpaceDN w:val="0"/>
        <w:adjustRightInd w:val="0"/>
        <w:spacing w:line="360" w:lineRule="auto"/>
        <w:rPr>
          <w:rFonts w:cs="Arial"/>
          <w:sz w:val="22"/>
          <w:szCs w:val="22"/>
          <w:lang w:val="en-GB"/>
        </w:rPr>
      </w:pPr>
    </w:p>
    <w:p w:rsidR="002B5B60" w:rsidRPr="00AF1E17" w:rsidRDefault="00845A9D" w:rsidP="002B5B60">
      <w:pPr>
        <w:autoSpaceDE w:val="0"/>
        <w:autoSpaceDN w:val="0"/>
        <w:adjustRightInd w:val="0"/>
        <w:spacing w:line="360" w:lineRule="auto"/>
        <w:rPr>
          <w:rFonts w:cs="Arial"/>
          <w:sz w:val="22"/>
          <w:szCs w:val="22"/>
          <w:lang w:val="en-GB"/>
        </w:rPr>
      </w:pPr>
      <w:r w:rsidRPr="00AF1E17">
        <w:rPr>
          <w:rFonts w:cs="Arial"/>
          <w:color w:val="000000"/>
          <w:sz w:val="22"/>
          <w:szCs w:val="22"/>
          <w:lang w:val="en-GB"/>
        </w:rPr>
        <w:t xml:space="preserve">The largest transaction implemented by Czech investors abroad was the purchase of </w:t>
      </w:r>
      <w:proofErr w:type="spellStart"/>
      <w:r w:rsidR="002B5B60" w:rsidRPr="00AF1E17">
        <w:rPr>
          <w:rFonts w:cs="Arial"/>
          <w:color w:val="000000"/>
          <w:sz w:val="22"/>
          <w:szCs w:val="22"/>
          <w:lang w:val="en-GB"/>
        </w:rPr>
        <w:t>Středoslovensk</w:t>
      </w:r>
      <w:r w:rsidRPr="00AF1E17">
        <w:rPr>
          <w:rFonts w:cs="Arial"/>
          <w:color w:val="000000"/>
          <w:sz w:val="22"/>
          <w:szCs w:val="22"/>
          <w:lang w:val="en-GB"/>
        </w:rPr>
        <w:t>á</w:t>
      </w:r>
      <w:proofErr w:type="spellEnd"/>
      <w:r w:rsidR="002B5B60" w:rsidRPr="00AF1E17">
        <w:rPr>
          <w:rFonts w:cs="Arial"/>
          <w:color w:val="000000"/>
          <w:sz w:val="22"/>
          <w:szCs w:val="22"/>
          <w:lang w:val="en-GB"/>
        </w:rPr>
        <w:t xml:space="preserve"> </w:t>
      </w:r>
      <w:proofErr w:type="spellStart"/>
      <w:r w:rsidR="002B5B60" w:rsidRPr="00AF1E17">
        <w:rPr>
          <w:rFonts w:cs="Arial"/>
          <w:color w:val="000000"/>
          <w:sz w:val="22"/>
          <w:szCs w:val="22"/>
          <w:lang w:val="en-GB"/>
        </w:rPr>
        <w:t>energetik</w:t>
      </w:r>
      <w:r w:rsidRPr="00AF1E17">
        <w:rPr>
          <w:rFonts w:cs="Arial"/>
          <w:color w:val="000000"/>
          <w:sz w:val="22"/>
          <w:szCs w:val="22"/>
          <w:lang w:val="en-GB"/>
        </w:rPr>
        <w:t>a</w:t>
      </w:r>
      <w:proofErr w:type="spellEnd"/>
      <w:r w:rsidR="002B5B60" w:rsidRPr="00AF1E17">
        <w:rPr>
          <w:rFonts w:cs="Arial"/>
          <w:color w:val="000000"/>
          <w:sz w:val="22"/>
          <w:szCs w:val="22"/>
          <w:lang w:val="en-GB"/>
        </w:rPr>
        <w:t xml:space="preserve">, </w:t>
      </w:r>
      <w:proofErr w:type="spellStart"/>
      <w:proofErr w:type="gramStart"/>
      <w:r w:rsidR="002B5B60" w:rsidRPr="00AF1E17">
        <w:rPr>
          <w:rFonts w:cs="Arial"/>
          <w:color w:val="000000"/>
          <w:sz w:val="22"/>
          <w:szCs w:val="22"/>
          <w:lang w:val="en-GB"/>
        </w:rPr>
        <w:t>a.s</w:t>
      </w:r>
      <w:proofErr w:type="spellEnd"/>
      <w:proofErr w:type="gramEnd"/>
      <w:r w:rsidR="002B5B60" w:rsidRPr="00AF1E17">
        <w:rPr>
          <w:rFonts w:cs="Arial"/>
          <w:color w:val="000000"/>
          <w:sz w:val="22"/>
          <w:szCs w:val="22"/>
          <w:lang w:val="en-GB"/>
        </w:rPr>
        <w:t xml:space="preserve">. (49%) </w:t>
      </w:r>
      <w:r w:rsidRPr="00AF1E17">
        <w:rPr>
          <w:rFonts w:cs="Arial"/>
          <w:color w:val="000000"/>
          <w:sz w:val="22"/>
          <w:szCs w:val="22"/>
          <w:lang w:val="en-GB"/>
        </w:rPr>
        <w:t xml:space="preserve">by </w:t>
      </w:r>
      <w:proofErr w:type="spellStart"/>
      <w:r w:rsidR="002B5B60" w:rsidRPr="00AF1E17">
        <w:rPr>
          <w:rFonts w:cs="Arial"/>
          <w:color w:val="000000"/>
          <w:sz w:val="22"/>
          <w:szCs w:val="22"/>
          <w:lang w:val="en-GB"/>
        </w:rPr>
        <w:t>Energetický</w:t>
      </w:r>
      <w:proofErr w:type="spellEnd"/>
      <w:r w:rsidR="002B5B60" w:rsidRPr="00AF1E17">
        <w:rPr>
          <w:rFonts w:cs="Arial"/>
          <w:color w:val="000000"/>
          <w:sz w:val="22"/>
          <w:szCs w:val="22"/>
          <w:lang w:val="en-GB"/>
        </w:rPr>
        <w:t xml:space="preserve"> a </w:t>
      </w:r>
      <w:proofErr w:type="spellStart"/>
      <w:r w:rsidR="002B5B60" w:rsidRPr="00AF1E17">
        <w:rPr>
          <w:rFonts w:cs="Arial"/>
          <w:color w:val="000000"/>
          <w:sz w:val="22"/>
          <w:szCs w:val="22"/>
          <w:lang w:val="en-GB"/>
        </w:rPr>
        <w:t>průmyslový</w:t>
      </w:r>
      <w:proofErr w:type="spellEnd"/>
      <w:r w:rsidR="002B5B60" w:rsidRPr="00AF1E17">
        <w:rPr>
          <w:rFonts w:cs="Arial"/>
          <w:color w:val="000000"/>
          <w:sz w:val="22"/>
          <w:szCs w:val="22"/>
          <w:lang w:val="en-GB"/>
        </w:rPr>
        <w:t xml:space="preserve"> holding </w:t>
      </w:r>
      <w:proofErr w:type="spellStart"/>
      <w:r w:rsidR="002B5B60" w:rsidRPr="00AF1E17">
        <w:rPr>
          <w:rFonts w:cs="Arial"/>
          <w:color w:val="000000"/>
          <w:sz w:val="22"/>
          <w:szCs w:val="22"/>
          <w:lang w:val="en-GB"/>
        </w:rPr>
        <w:t>a.s</w:t>
      </w:r>
      <w:proofErr w:type="spellEnd"/>
      <w:r w:rsidR="002B5B60" w:rsidRPr="00AF1E17">
        <w:rPr>
          <w:rFonts w:cs="Arial"/>
          <w:color w:val="000000"/>
          <w:sz w:val="22"/>
          <w:szCs w:val="22"/>
          <w:lang w:val="en-GB"/>
        </w:rPr>
        <w:t>. (</w:t>
      </w:r>
      <w:r w:rsidRPr="00AF1E17">
        <w:rPr>
          <w:rFonts w:cs="Arial"/>
          <w:color w:val="000000"/>
          <w:sz w:val="22"/>
          <w:szCs w:val="22"/>
          <w:lang w:val="en-GB"/>
        </w:rPr>
        <w:t xml:space="preserve">transaction value of USD </w:t>
      </w:r>
      <w:r w:rsidR="002B5B60" w:rsidRPr="00AF1E17">
        <w:rPr>
          <w:rFonts w:cs="Arial"/>
          <w:color w:val="000000"/>
          <w:sz w:val="22"/>
          <w:szCs w:val="22"/>
          <w:lang w:val="en-GB"/>
        </w:rPr>
        <w:t>516 m).</w:t>
      </w:r>
      <w:r w:rsidR="002B5B60" w:rsidRPr="00AF1E17">
        <w:rPr>
          <w:rFonts w:cs="Arial"/>
          <w:sz w:val="22"/>
          <w:szCs w:val="22"/>
          <w:lang w:val="en-GB"/>
        </w:rPr>
        <w:t xml:space="preserve"> </w:t>
      </w:r>
    </w:p>
    <w:p w:rsidR="002B5B60" w:rsidRPr="00AF1E17" w:rsidRDefault="002B5B60" w:rsidP="002B5B60">
      <w:pPr>
        <w:autoSpaceDE w:val="0"/>
        <w:autoSpaceDN w:val="0"/>
        <w:adjustRightInd w:val="0"/>
        <w:spacing w:line="360" w:lineRule="auto"/>
        <w:rPr>
          <w:rFonts w:cs="Arial"/>
          <w:color w:val="000000"/>
          <w:sz w:val="22"/>
          <w:szCs w:val="22"/>
          <w:lang w:val="en-GB"/>
        </w:rPr>
      </w:pPr>
    </w:p>
    <w:p w:rsidR="002B5B60" w:rsidRPr="00AF1E17" w:rsidRDefault="00845A9D" w:rsidP="002B5B60">
      <w:pPr>
        <w:autoSpaceDE w:val="0"/>
        <w:autoSpaceDN w:val="0"/>
        <w:adjustRightInd w:val="0"/>
        <w:spacing w:line="360" w:lineRule="auto"/>
        <w:rPr>
          <w:rFonts w:cs="Arial"/>
          <w:b/>
          <w:color w:val="000000"/>
          <w:sz w:val="22"/>
          <w:szCs w:val="22"/>
          <w:lang w:val="en-GB"/>
        </w:rPr>
      </w:pPr>
      <w:r w:rsidRPr="00AF1E17">
        <w:rPr>
          <w:rFonts w:cs="Arial"/>
          <w:b/>
          <w:color w:val="000000"/>
          <w:sz w:val="22"/>
          <w:szCs w:val="22"/>
          <w:lang w:val="en-GB"/>
        </w:rPr>
        <w:t>Investor population</w:t>
      </w:r>
    </w:p>
    <w:p w:rsidR="002B5B60" w:rsidRPr="00AF1E17" w:rsidRDefault="00121C89" w:rsidP="00121C89">
      <w:pPr>
        <w:autoSpaceDE w:val="0"/>
        <w:autoSpaceDN w:val="0"/>
        <w:adjustRightInd w:val="0"/>
        <w:spacing w:line="360" w:lineRule="auto"/>
        <w:rPr>
          <w:rFonts w:cs="Arial"/>
          <w:sz w:val="22"/>
          <w:szCs w:val="22"/>
          <w:lang w:val="en-GB"/>
        </w:rPr>
      </w:pPr>
      <w:r w:rsidRPr="00AF1E17">
        <w:rPr>
          <w:rFonts w:cs="Arial"/>
          <w:sz w:val="22"/>
          <w:szCs w:val="22"/>
          <w:lang w:val="en-GB"/>
        </w:rPr>
        <w:t>Strategic and financial investors were more active year on year. Financial investor activity increased more than 90%, bringing its total share in transaction volume to 21% (from 16% in H1 2012)</w:t>
      </w:r>
      <w:r w:rsidR="002B5B60" w:rsidRPr="00AF1E17">
        <w:rPr>
          <w:rFonts w:cs="Arial"/>
          <w:sz w:val="22"/>
          <w:szCs w:val="22"/>
          <w:lang w:val="en-GB"/>
        </w:rPr>
        <w:t>.</w:t>
      </w:r>
    </w:p>
    <w:p w:rsidR="002B5B60" w:rsidRPr="00AF1E17" w:rsidRDefault="002B5B60" w:rsidP="002B5B60">
      <w:pPr>
        <w:autoSpaceDE w:val="0"/>
        <w:autoSpaceDN w:val="0"/>
        <w:adjustRightInd w:val="0"/>
        <w:spacing w:line="360" w:lineRule="auto"/>
        <w:rPr>
          <w:rFonts w:cs="Arial"/>
          <w:sz w:val="22"/>
          <w:szCs w:val="22"/>
          <w:lang w:val="en-GB"/>
        </w:rPr>
      </w:pPr>
    </w:p>
    <w:p w:rsidR="002B5B60" w:rsidRPr="00AF1E17" w:rsidRDefault="00121C89" w:rsidP="00121C89">
      <w:pPr>
        <w:autoSpaceDE w:val="0"/>
        <w:autoSpaceDN w:val="0"/>
        <w:adjustRightInd w:val="0"/>
        <w:spacing w:line="360" w:lineRule="auto"/>
        <w:rPr>
          <w:rFonts w:cs="Arial"/>
          <w:sz w:val="22"/>
          <w:szCs w:val="22"/>
          <w:lang w:val="en-GB"/>
        </w:rPr>
      </w:pPr>
      <w:r w:rsidRPr="00AF1E17">
        <w:rPr>
          <w:rFonts w:cs="Arial"/>
          <w:sz w:val="22"/>
          <w:szCs w:val="22"/>
          <w:lang w:val="en-GB"/>
        </w:rPr>
        <w:t>Domestic transactions lost some of their dominance to outbound deals, though transactions between domestic investors continued to comprise more than half of all deals. Inbound investment growth reflected the overall market trajectory</w:t>
      </w:r>
      <w:r w:rsidR="002B5B60" w:rsidRPr="00AF1E17">
        <w:rPr>
          <w:rFonts w:cs="Arial"/>
          <w:sz w:val="22"/>
          <w:szCs w:val="22"/>
          <w:lang w:val="en-GB"/>
        </w:rPr>
        <w:t>.</w:t>
      </w:r>
    </w:p>
    <w:p w:rsidR="002B5B60" w:rsidRPr="00AF1E17" w:rsidRDefault="002B5B60" w:rsidP="002B5B60">
      <w:pPr>
        <w:autoSpaceDE w:val="0"/>
        <w:autoSpaceDN w:val="0"/>
        <w:adjustRightInd w:val="0"/>
        <w:spacing w:line="360" w:lineRule="auto"/>
        <w:rPr>
          <w:rFonts w:cs="Arial"/>
          <w:sz w:val="22"/>
          <w:szCs w:val="22"/>
          <w:lang w:val="en-GB"/>
        </w:rPr>
      </w:pPr>
    </w:p>
    <w:p w:rsidR="002B5B60" w:rsidRPr="00AF1E17" w:rsidRDefault="00121C89" w:rsidP="00121C89">
      <w:pPr>
        <w:autoSpaceDE w:val="0"/>
        <w:autoSpaceDN w:val="0"/>
        <w:adjustRightInd w:val="0"/>
        <w:spacing w:line="360" w:lineRule="auto"/>
        <w:rPr>
          <w:rFonts w:cs="Arial"/>
          <w:sz w:val="22"/>
          <w:szCs w:val="22"/>
          <w:lang w:val="en-GB"/>
        </w:rPr>
      </w:pPr>
      <w:r w:rsidRPr="00AF1E17">
        <w:rPr>
          <w:rFonts w:cs="Arial"/>
          <w:sz w:val="22"/>
          <w:szCs w:val="22"/>
          <w:lang w:val="en-GB"/>
        </w:rPr>
        <w:t xml:space="preserve">Once again, domestic investors active abroad chiefly targeted neighbouring countries, i.e. Slovakia (5 transactions), Austria and Germany (2 transactions each). Inbound transactions </w:t>
      </w:r>
      <w:r w:rsidRPr="00AF1E17">
        <w:rPr>
          <w:rFonts w:cs="Arial"/>
          <w:sz w:val="22"/>
          <w:szCs w:val="22"/>
          <w:lang w:val="en-GB"/>
        </w:rPr>
        <w:lastRenderedPageBreak/>
        <w:t>were mainly carried out by investors from the USA (6 transactions) and Germany (5 transactions). This usual pair was joined by investors from Switzerland, who completed 5 transactions in the Czech Republic, chiefly in the manufacturing sector</w:t>
      </w:r>
      <w:r w:rsidR="002B5B60" w:rsidRPr="00AF1E17">
        <w:rPr>
          <w:rFonts w:cs="Arial"/>
          <w:sz w:val="22"/>
          <w:szCs w:val="22"/>
          <w:lang w:val="en-GB"/>
        </w:rPr>
        <w:t>.</w:t>
      </w:r>
    </w:p>
    <w:p w:rsidR="002B5B60" w:rsidRPr="00AF1E17" w:rsidRDefault="002B5B60" w:rsidP="002B5B60">
      <w:pPr>
        <w:autoSpaceDE w:val="0"/>
        <w:autoSpaceDN w:val="0"/>
        <w:adjustRightInd w:val="0"/>
        <w:spacing w:line="360" w:lineRule="auto"/>
        <w:rPr>
          <w:rFonts w:ascii="EYInterstate-Light" w:hAnsi="EYInterstate-Light" w:cs="EYInterstate-Light"/>
          <w:sz w:val="18"/>
          <w:szCs w:val="18"/>
          <w:lang w:val="en-GB" w:eastAsia="cs-CZ"/>
        </w:rPr>
      </w:pPr>
    </w:p>
    <w:p w:rsidR="002B5B60" w:rsidRPr="00AF1E17" w:rsidRDefault="00121C89" w:rsidP="002B5B60">
      <w:pPr>
        <w:autoSpaceDE w:val="0"/>
        <w:autoSpaceDN w:val="0"/>
        <w:adjustRightInd w:val="0"/>
        <w:spacing w:line="360" w:lineRule="auto"/>
        <w:rPr>
          <w:rFonts w:cs="Arial"/>
          <w:b/>
          <w:color w:val="000000"/>
          <w:sz w:val="22"/>
          <w:szCs w:val="22"/>
          <w:lang w:val="en-GB"/>
        </w:rPr>
      </w:pPr>
      <w:r w:rsidRPr="00AF1E17">
        <w:rPr>
          <w:rFonts w:cs="Arial"/>
          <w:b/>
          <w:color w:val="000000"/>
          <w:sz w:val="22"/>
          <w:szCs w:val="22"/>
          <w:lang w:val="en-GB"/>
        </w:rPr>
        <w:t>Industry sector analysis</w:t>
      </w:r>
    </w:p>
    <w:p w:rsidR="002B5B60" w:rsidRPr="00AF1E17" w:rsidRDefault="00971EDA" w:rsidP="00971EDA">
      <w:pPr>
        <w:autoSpaceDE w:val="0"/>
        <w:autoSpaceDN w:val="0"/>
        <w:adjustRightInd w:val="0"/>
        <w:spacing w:line="360" w:lineRule="auto"/>
        <w:rPr>
          <w:rFonts w:cs="Arial"/>
          <w:sz w:val="22"/>
          <w:szCs w:val="22"/>
          <w:lang w:val="en-GB"/>
        </w:rPr>
      </w:pPr>
      <w:r w:rsidRPr="00AF1E17">
        <w:rPr>
          <w:rFonts w:cs="Arial"/>
          <w:sz w:val="22"/>
          <w:szCs w:val="22"/>
          <w:lang w:val="en-GB"/>
        </w:rPr>
        <w:t>Manufacturing (14 transactions) and services (12 transactions, but a 30% drop year on year) continued to be favo</w:t>
      </w:r>
      <w:r w:rsidR="00C43FA2" w:rsidRPr="00AF1E17">
        <w:rPr>
          <w:rFonts w:cs="Arial"/>
          <w:sz w:val="22"/>
          <w:szCs w:val="22"/>
          <w:lang w:val="en-GB"/>
        </w:rPr>
        <w:t>u</w:t>
      </w:r>
      <w:r w:rsidRPr="00AF1E17">
        <w:rPr>
          <w:rFonts w:cs="Arial"/>
          <w:sz w:val="22"/>
          <w:szCs w:val="22"/>
          <w:lang w:val="en-GB"/>
        </w:rPr>
        <w:t xml:space="preserve">rite investment target industries. However, with 13 transactions the real estate sector managed to join them (note this </w:t>
      </w:r>
      <w:r w:rsidR="00C43FA2" w:rsidRPr="00AF1E17">
        <w:rPr>
          <w:rFonts w:cs="Arial"/>
          <w:sz w:val="22"/>
          <w:szCs w:val="22"/>
          <w:lang w:val="en-GB"/>
        </w:rPr>
        <w:t xml:space="preserve">EY </w:t>
      </w:r>
      <w:r w:rsidRPr="00AF1E17">
        <w:rPr>
          <w:rFonts w:cs="Arial"/>
          <w:sz w:val="22"/>
          <w:szCs w:val="22"/>
          <w:lang w:val="en-GB"/>
        </w:rPr>
        <w:t>analysis only includes real estate transactions carried out by real estate funds or holdings</w:t>
      </w:r>
      <w:r w:rsidR="002B5B60" w:rsidRPr="00AF1E17">
        <w:rPr>
          <w:rFonts w:cs="Arial"/>
          <w:sz w:val="22"/>
          <w:szCs w:val="22"/>
          <w:lang w:val="en-GB"/>
        </w:rPr>
        <w:t xml:space="preserve">). </w:t>
      </w:r>
      <w:r w:rsidR="00C43FA2" w:rsidRPr="00AF1E17">
        <w:rPr>
          <w:rFonts w:cs="Arial"/>
          <w:sz w:val="22"/>
          <w:szCs w:val="22"/>
          <w:lang w:val="en-GB"/>
        </w:rPr>
        <w:t>Other sectors reporting signifi</w:t>
      </w:r>
      <w:r w:rsidRPr="00AF1E17">
        <w:rPr>
          <w:rFonts w:cs="Arial"/>
          <w:sz w:val="22"/>
          <w:szCs w:val="22"/>
          <w:lang w:val="en-GB"/>
        </w:rPr>
        <w:t xml:space="preserve">cant growth in the period under review include trade (50% year-to-year increase to 12 transactions), energy (50% increase to 9 transactions), IT (increase from a single transaction </w:t>
      </w:r>
      <w:r w:rsidR="00C43FA2" w:rsidRPr="00AF1E17">
        <w:rPr>
          <w:rFonts w:cs="Arial"/>
          <w:sz w:val="22"/>
          <w:szCs w:val="22"/>
          <w:lang w:val="en-GB"/>
        </w:rPr>
        <w:t>in 2012</w:t>
      </w:r>
      <w:r w:rsidRPr="00AF1E17">
        <w:rPr>
          <w:rFonts w:cs="Arial"/>
          <w:sz w:val="22"/>
          <w:szCs w:val="22"/>
          <w:lang w:val="en-GB"/>
        </w:rPr>
        <w:t xml:space="preserve"> to seven </w:t>
      </w:r>
      <w:r w:rsidR="00C43FA2" w:rsidRPr="00AF1E17">
        <w:rPr>
          <w:rFonts w:cs="Arial"/>
          <w:sz w:val="22"/>
          <w:szCs w:val="22"/>
          <w:lang w:val="en-GB"/>
        </w:rPr>
        <w:t>in 2013</w:t>
      </w:r>
      <w:r w:rsidRPr="00AF1E17">
        <w:rPr>
          <w:rFonts w:cs="Arial"/>
          <w:sz w:val="22"/>
          <w:szCs w:val="22"/>
          <w:lang w:val="en-GB"/>
        </w:rPr>
        <w:t>) a</w:t>
      </w:r>
      <w:r w:rsidR="00EA1603">
        <w:rPr>
          <w:rFonts w:cs="Arial"/>
          <w:sz w:val="22"/>
          <w:szCs w:val="22"/>
          <w:lang w:val="en-GB"/>
        </w:rPr>
        <w:t>nd</w:t>
      </w:r>
      <w:r w:rsidRPr="00AF1E17">
        <w:rPr>
          <w:rFonts w:cs="Arial"/>
          <w:sz w:val="22"/>
          <w:szCs w:val="22"/>
          <w:lang w:val="en-GB"/>
        </w:rPr>
        <w:t xml:space="preserve"> chemic</w:t>
      </w:r>
      <w:r w:rsidR="00C43FA2" w:rsidRPr="00AF1E17">
        <w:rPr>
          <w:rFonts w:cs="Arial"/>
          <w:sz w:val="22"/>
          <w:szCs w:val="22"/>
          <w:lang w:val="en-GB"/>
        </w:rPr>
        <w:t>als (from one transaction in 2012 to fi</w:t>
      </w:r>
      <w:r w:rsidRPr="00AF1E17">
        <w:rPr>
          <w:rFonts w:cs="Arial"/>
          <w:sz w:val="22"/>
          <w:szCs w:val="22"/>
          <w:lang w:val="en-GB"/>
        </w:rPr>
        <w:t>ve</w:t>
      </w:r>
      <w:r w:rsidR="00C43FA2" w:rsidRPr="00AF1E17">
        <w:rPr>
          <w:rFonts w:cs="Arial"/>
          <w:sz w:val="22"/>
          <w:szCs w:val="22"/>
          <w:lang w:val="en-GB"/>
        </w:rPr>
        <w:t xml:space="preserve"> in 2013</w:t>
      </w:r>
      <w:r w:rsidR="002B5B60" w:rsidRPr="00AF1E17">
        <w:rPr>
          <w:rFonts w:cs="Arial"/>
          <w:sz w:val="22"/>
          <w:szCs w:val="22"/>
          <w:lang w:val="en-GB"/>
        </w:rPr>
        <w:t>).</w:t>
      </w:r>
    </w:p>
    <w:p w:rsidR="002B5B60" w:rsidRPr="00AF1E17" w:rsidRDefault="002B5B60" w:rsidP="002B5B60">
      <w:pPr>
        <w:autoSpaceDE w:val="0"/>
        <w:autoSpaceDN w:val="0"/>
        <w:adjustRightInd w:val="0"/>
        <w:spacing w:line="360" w:lineRule="auto"/>
        <w:rPr>
          <w:rFonts w:cs="Arial"/>
          <w:color w:val="000000"/>
          <w:sz w:val="22"/>
          <w:szCs w:val="22"/>
          <w:lang w:val="en-GB"/>
        </w:rPr>
      </w:pPr>
    </w:p>
    <w:p w:rsidR="002B5B60" w:rsidRPr="00AF1E17" w:rsidRDefault="002B5B60" w:rsidP="002B5B60">
      <w:pPr>
        <w:rPr>
          <w:rFonts w:cs="Arial"/>
          <w:b/>
          <w:color w:val="000000"/>
          <w:sz w:val="22"/>
          <w:szCs w:val="22"/>
          <w:lang w:val="en-GB"/>
        </w:rPr>
      </w:pPr>
      <w:r w:rsidRPr="00AF1E17">
        <w:rPr>
          <w:rFonts w:cs="Arial"/>
          <w:b/>
          <w:color w:val="000000"/>
          <w:sz w:val="22"/>
          <w:szCs w:val="22"/>
          <w:lang w:val="en-GB"/>
        </w:rPr>
        <w:t xml:space="preserve">Top 10 </w:t>
      </w:r>
      <w:r w:rsidR="00C43FA2" w:rsidRPr="00AF1E17">
        <w:rPr>
          <w:rFonts w:cs="Arial"/>
          <w:b/>
          <w:color w:val="000000"/>
          <w:sz w:val="22"/>
          <w:szCs w:val="22"/>
          <w:lang w:val="en-GB"/>
        </w:rPr>
        <w:t>largest deals in H1</w:t>
      </w:r>
      <w:r w:rsidRPr="00AF1E17">
        <w:rPr>
          <w:rFonts w:cs="Arial"/>
          <w:b/>
          <w:color w:val="000000"/>
          <w:sz w:val="22"/>
          <w:szCs w:val="22"/>
          <w:lang w:val="en-GB"/>
        </w:rPr>
        <w:t xml:space="preserve"> 2013 (</w:t>
      </w:r>
      <w:r w:rsidR="00C43FA2" w:rsidRPr="00AF1E17">
        <w:rPr>
          <w:rFonts w:cs="Arial"/>
          <w:b/>
          <w:color w:val="000000"/>
          <w:sz w:val="22"/>
          <w:szCs w:val="22"/>
          <w:lang w:val="en-GB"/>
        </w:rPr>
        <w:t>Czech Republic</w:t>
      </w:r>
      <w:r w:rsidRPr="00AF1E17">
        <w:rPr>
          <w:rFonts w:cs="Arial"/>
          <w:b/>
          <w:color w:val="000000"/>
          <w:sz w:val="22"/>
          <w:szCs w:val="22"/>
          <w:lang w:val="en-GB"/>
        </w:rPr>
        <w:t>)</w:t>
      </w:r>
    </w:p>
    <w:tbl>
      <w:tblPr>
        <w:tblW w:w="8662" w:type="dxa"/>
        <w:tblInd w:w="55" w:type="dxa"/>
        <w:tblLayout w:type="fixed"/>
        <w:tblCellMar>
          <w:left w:w="70" w:type="dxa"/>
          <w:right w:w="70" w:type="dxa"/>
        </w:tblCellMar>
        <w:tblLook w:val="04A0" w:firstRow="1" w:lastRow="0" w:firstColumn="1" w:lastColumn="0" w:noHBand="0" w:noVBand="1"/>
      </w:tblPr>
      <w:tblGrid>
        <w:gridCol w:w="426"/>
        <w:gridCol w:w="1541"/>
        <w:gridCol w:w="600"/>
        <w:gridCol w:w="1417"/>
        <w:gridCol w:w="1985"/>
        <w:gridCol w:w="1131"/>
        <w:gridCol w:w="145"/>
        <w:gridCol w:w="1126"/>
        <w:gridCol w:w="291"/>
      </w:tblGrid>
      <w:tr w:rsidR="002B5B60" w:rsidRPr="00AF1E17" w:rsidTr="00693FF3">
        <w:trPr>
          <w:gridAfter w:val="1"/>
          <w:wAfter w:w="291" w:type="dxa"/>
          <w:trHeight w:val="270"/>
        </w:trPr>
        <w:tc>
          <w:tcPr>
            <w:tcW w:w="426" w:type="dxa"/>
            <w:tcBorders>
              <w:top w:val="nil"/>
              <w:left w:val="nil"/>
              <w:bottom w:val="nil"/>
              <w:right w:val="nil"/>
            </w:tcBorders>
            <w:shd w:val="clear" w:color="auto" w:fill="auto"/>
            <w:noWrap/>
            <w:vAlign w:val="bottom"/>
            <w:hideMark/>
          </w:tcPr>
          <w:p w:rsidR="002B5B60" w:rsidRPr="00AF1E17" w:rsidRDefault="002B5B60" w:rsidP="00693FF3">
            <w:pPr>
              <w:rPr>
                <w:rFonts w:cs="Arial"/>
                <w:color w:val="000000"/>
                <w:szCs w:val="20"/>
                <w:lang w:val="en-GB" w:eastAsia="cs-CZ"/>
              </w:rPr>
            </w:pPr>
          </w:p>
        </w:tc>
        <w:tc>
          <w:tcPr>
            <w:tcW w:w="1541" w:type="dxa"/>
            <w:tcBorders>
              <w:top w:val="nil"/>
              <w:left w:val="nil"/>
              <w:bottom w:val="nil"/>
              <w:right w:val="nil"/>
            </w:tcBorders>
          </w:tcPr>
          <w:p w:rsidR="002B5B60" w:rsidRPr="00AF1E17" w:rsidRDefault="002B5B60" w:rsidP="00693FF3">
            <w:pPr>
              <w:rPr>
                <w:rFonts w:cs="Arial"/>
                <w:b/>
                <w:bCs/>
                <w:color w:val="000000"/>
                <w:szCs w:val="20"/>
                <w:lang w:val="en-GB" w:eastAsia="cs-CZ"/>
              </w:rPr>
            </w:pPr>
          </w:p>
        </w:tc>
        <w:tc>
          <w:tcPr>
            <w:tcW w:w="5133" w:type="dxa"/>
            <w:gridSpan w:val="4"/>
            <w:tcBorders>
              <w:top w:val="nil"/>
              <w:left w:val="nil"/>
              <w:bottom w:val="nil"/>
              <w:right w:val="nil"/>
            </w:tcBorders>
            <w:shd w:val="clear" w:color="auto" w:fill="auto"/>
            <w:noWrap/>
            <w:vAlign w:val="bottom"/>
            <w:hideMark/>
          </w:tcPr>
          <w:p w:rsidR="002B5B60" w:rsidRPr="00AF1E17" w:rsidRDefault="002B5B60" w:rsidP="00693FF3">
            <w:pPr>
              <w:rPr>
                <w:rFonts w:cs="Arial"/>
                <w:b/>
                <w:bCs/>
                <w:color w:val="000000"/>
                <w:szCs w:val="20"/>
                <w:lang w:val="en-GB" w:eastAsia="cs-CZ"/>
              </w:rPr>
            </w:pPr>
          </w:p>
        </w:tc>
        <w:tc>
          <w:tcPr>
            <w:tcW w:w="1271" w:type="dxa"/>
            <w:gridSpan w:val="2"/>
            <w:tcBorders>
              <w:top w:val="nil"/>
              <w:left w:val="nil"/>
              <w:bottom w:val="nil"/>
              <w:right w:val="nil"/>
            </w:tcBorders>
            <w:shd w:val="clear" w:color="auto" w:fill="auto"/>
            <w:noWrap/>
            <w:vAlign w:val="bottom"/>
            <w:hideMark/>
          </w:tcPr>
          <w:p w:rsidR="002B5B60" w:rsidRPr="00AF1E17" w:rsidRDefault="002B5B60" w:rsidP="00693FF3">
            <w:pPr>
              <w:rPr>
                <w:rFonts w:cs="Arial"/>
                <w:color w:val="000000"/>
                <w:szCs w:val="20"/>
                <w:lang w:val="en-GB" w:eastAsia="cs-CZ"/>
              </w:rPr>
            </w:pPr>
          </w:p>
        </w:tc>
      </w:tr>
      <w:tr w:rsidR="002B5B60" w:rsidRPr="00AF1E17" w:rsidTr="00C43FA2">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B60" w:rsidRPr="00AF1E17" w:rsidRDefault="002B5B60" w:rsidP="00693FF3">
            <w:pPr>
              <w:rPr>
                <w:rFonts w:cs="Arial"/>
                <w:b/>
                <w:color w:val="000000"/>
                <w:lang w:val="en-GB" w:eastAsia="cs-CZ"/>
              </w:rPr>
            </w:pPr>
            <w:r w:rsidRPr="00AF1E17">
              <w:rPr>
                <w:rFonts w:cs="Arial"/>
                <w:b/>
                <w:color w:val="000000"/>
                <w:szCs w:val="22"/>
                <w:lang w:val="en-GB" w:eastAsia="cs-CZ"/>
              </w:rPr>
              <w:t> </w:t>
            </w:r>
          </w:p>
        </w:tc>
        <w:tc>
          <w:tcPr>
            <w:tcW w:w="21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B5B60" w:rsidRPr="00AF1E17" w:rsidRDefault="00C43FA2" w:rsidP="00C43FA2">
            <w:pPr>
              <w:rPr>
                <w:rFonts w:cs="Arial"/>
                <w:b/>
                <w:color w:val="000000"/>
                <w:lang w:val="en-GB" w:eastAsia="cs-CZ"/>
              </w:rPr>
            </w:pPr>
            <w:r w:rsidRPr="00AF1E17">
              <w:rPr>
                <w:rFonts w:cs="Arial"/>
                <w:b/>
                <w:color w:val="000000"/>
                <w:szCs w:val="22"/>
                <w:lang w:val="en-GB" w:eastAsia="cs-CZ"/>
              </w:rPr>
              <w:t>Target company</w:t>
            </w:r>
            <w:r w:rsidR="002B5B60" w:rsidRPr="00AF1E17">
              <w:rPr>
                <w:rFonts w:cs="Arial"/>
                <w:b/>
                <w:color w:val="000000"/>
                <w:szCs w:val="22"/>
                <w:lang w:val="en-GB" w:eastAsia="cs-CZ"/>
              </w:rPr>
              <w:t xml:space="preserve"> (% </w:t>
            </w:r>
            <w:r w:rsidRPr="00AF1E17">
              <w:rPr>
                <w:rFonts w:cs="Arial"/>
                <w:b/>
                <w:color w:val="000000"/>
                <w:szCs w:val="22"/>
                <w:lang w:val="en-GB" w:eastAsia="cs-CZ"/>
              </w:rPr>
              <w:t>acquired</w:t>
            </w:r>
            <w:r w:rsidR="002B5B60" w:rsidRPr="00AF1E17">
              <w:rPr>
                <w:rFonts w:cs="Arial"/>
                <w:b/>
                <w:color w:val="000000"/>
                <w:szCs w:val="22"/>
                <w:lang w:val="en-GB" w:eastAsia="cs-CZ"/>
              </w:rPr>
              <w:t>)</w:t>
            </w:r>
          </w:p>
        </w:tc>
        <w:tc>
          <w:tcPr>
            <w:tcW w:w="1417" w:type="dxa"/>
            <w:tcBorders>
              <w:top w:val="single" w:sz="4" w:space="0" w:color="auto"/>
              <w:left w:val="nil"/>
              <w:bottom w:val="single" w:sz="4" w:space="0" w:color="auto"/>
              <w:right w:val="single" w:sz="4" w:space="0" w:color="auto"/>
            </w:tcBorders>
            <w:vAlign w:val="center"/>
          </w:tcPr>
          <w:p w:rsidR="002B5B60" w:rsidRPr="00AF1E17" w:rsidRDefault="00C43FA2" w:rsidP="00C43FA2">
            <w:pPr>
              <w:rPr>
                <w:rFonts w:cs="Arial"/>
                <w:b/>
                <w:color w:val="000000"/>
                <w:lang w:val="en-GB" w:eastAsia="cs-CZ"/>
              </w:rPr>
            </w:pPr>
            <w:r w:rsidRPr="00AF1E17">
              <w:rPr>
                <w:rFonts w:cs="Arial"/>
                <w:b/>
                <w:color w:val="000000"/>
                <w:szCs w:val="22"/>
                <w:lang w:val="en-GB" w:eastAsia="cs-CZ"/>
              </w:rPr>
              <w:t>Country of target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B60" w:rsidRPr="00AF1E17" w:rsidRDefault="00C43FA2" w:rsidP="00C43FA2">
            <w:pPr>
              <w:rPr>
                <w:rFonts w:cs="Arial"/>
                <w:b/>
                <w:color w:val="000000"/>
                <w:lang w:val="en-GB" w:eastAsia="cs-CZ"/>
              </w:rPr>
            </w:pPr>
            <w:r w:rsidRPr="00AF1E17">
              <w:rPr>
                <w:rFonts w:cs="Arial"/>
                <w:b/>
                <w:color w:val="000000"/>
                <w:szCs w:val="22"/>
                <w:lang w:val="en-GB" w:eastAsia="cs-CZ"/>
              </w:rPr>
              <w:t>Buyer</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B5B60" w:rsidRPr="00AF1E17" w:rsidRDefault="00C43FA2" w:rsidP="00C43FA2">
            <w:pPr>
              <w:rPr>
                <w:rFonts w:cs="Arial"/>
                <w:b/>
                <w:color w:val="000000"/>
                <w:lang w:val="en-GB" w:eastAsia="cs-CZ"/>
              </w:rPr>
            </w:pPr>
            <w:r w:rsidRPr="00AF1E17">
              <w:rPr>
                <w:rFonts w:cs="Arial"/>
                <w:b/>
                <w:color w:val="000000"/>
                <w:szCs w:val="22"/>
                <w:lang w:val="en-GB" w:eastAsia="cs-CZ"/>
              </w:rPr>
              <w:t>Country of buyer</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2B5B60" w:rsidRPr="00AF1E17" w:rsidRDefault="00C43FA2" w:rsidP="00C43FA2">
            <w:pPr>
              <w:rPr>
                <w:rFonts w:cs="Arial"/>
                <w:b/>
                <w:color w:val="000000"/>
                <w:lang w:val="en-GB" w:eastAsia="cs-CZ"/>
              </w:rPr>
            </w:pPr>
            <w:r w:rsidRPr="00AF1E17">
              <w:rPr>
                <w:rFonts w:cs="Arial"/>
                <w:b/>
                <w:color w:val="000000"/>
                <w:szCs w:val="22"/>
                <w:lang w:val="en-GB" w:eastAsia="cs-CZ"/>
              </w:rPr>
              <w:t>Deal value (</w:t>
            </w:r>
            <w:r w:rsidR="002B5B60" w:rsidRPr="00AF1E17">
              <w:rPr>
                <w:rFonts w:cs="Arial"/>
                <w:b/>
                <w:color w:val="000000"/>
                <w:szCs w:val="22"/>
                <w:lang w:val="en-GB" w:eastAsia="cs-CZ"/>
              </w:rPr>
              <w:t>USD</w:t>
            </w:r>
            <w:r w:rsidRPr="00AF1E17">
              <w:rPr>
                <w:rFonts w:cs="Arial"/>
                <w:b/>
                <w:color w:val="000000"/>
                <w:szCs w:val="22"/>
                <w:lang w:val="en-GB" w:eastAsia="cs-CZ"/>
              </w:rPr>
              <w:t xml:space="preserve"> m</w:t>
            </w:r>
            <w:r w:rsidR="002B5B60" w:rsidRPr="00AF1E17">
              <w:rPr>
                <w:rFonts w:cs="Arial"/>
                <w:b/>
                <w:color w:val="000000"/>
                <w:szCs w:val="22"/>
                <w:lang w:val="en-GB" w:eastAsia="cs-CZ"/>
              </w:rPr>
              <w:t>)</w:t>
            </w:r>
          </w:p>
        </w:tc>
      </w:tr>
      <w:tr w:rsidR="00C43FA2" w:rsidRPr="00AF1E17" w:rsidTr="00321E0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1</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C43FA2">
            <w:pPr>
              <w:rPr>
                <w:rFonts w:cs="Arial"/>
                <w:color w:val="000000"/>
                <w:lang w:val="en-GB" w:eastAsia="cs-CZ"/>
              </w:rPr>
            </w:pPr>
            <w:proofErr w:type="spellStart"/>
            <w:r w:rsidRPr="00AF1E17">
              <w:rPr>
                <w:rFonts w:cs="Arial"/>
                <w:color w:val="000000"/>
                <w:szCs w:val="22"/>
                <w:lang w:val="en-GB" w:eastAsia="cs-CZ"/>
              </w:rPr>
              <w:t>Stredoslovenská</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energetika</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a.s</w:t>
            </w:r>
            <w:proofErr w:type="spellEnd"/>
            <w:r w:rsidRPr="00AF1E17">
              <w:rPr>
                <w:rFonts w:cs="Arial"/>
                <w:color w:val="000000"/>
                <w:szCs w:val="22"/>
                <w:lang w:val="en-GB" w:eastAsia="cs-CZ"/>
              </w:rPr>
              <w:t>. (49%)</w:t>
            </w:r>
          </w:p>
        </w:tc>
        <w:tc>
          <w:tcPr>
            <w:tcW w:w="1417" w:type="dxa"/>
            <w:tcBorders>
              <w:top w:val="single" w:sz="4" w:space="0" w:color="auto"/>
              <w:left w:val="nil"/>
              <w:bottom w:val="single" w:sz="4" w:space="0" w:color="auto"/>
              <w:right w:val="single" w:sz="4" w:space="0" w:color="auto"/>
            </w:tcBorders>
            <w:vAlign w:val="bottom"/>
          </w:tcPr>
          <w:p w:rsidR="00C43FA2" w:rsidRPr="00AF1E17" w:rsidRDefault="00C43FA2" w:rsidP="00C43FA2">
            <w:pPr>
              <w:rPr>
                <w:rFonts w:cs="Arial"/>
                <w:color w:val="000000"/>
                <w:lang w:val="en-GB" w:eastAsia="cs-CZ"/>
              </w:rPr>
            </w:pPr>
            <w:r w:rsidRPr="00AF1E17">
              <w:rPr>
                <w:rFonts w:cs="Arial"/>
                <w:color w:val="000000"/>
                <w:szCs w:val="22"/>
                <w:lang w:val="en-GB" w:eastAsia="cs-CZ"/>
              </w:rPr>
              <w:t>Slovakia</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proofErr w:type="spellStart"/>
            <w:r w:rsidRPr="00AF1E17">
              <w:rPr>
                <w:rFonts w:cs="Arial"/>
                <w:color w:val="000000"/>
                <w:szCs w:val="22"/>
                <w:lang w:val="en-GB" w:eastAsia="cs-CZ"/>
              </w:rPr>
              <w:t>Energetický</w:t>
            </w:r>
            <w:proofErr w:type="spellEnd"/>
            <w:r w:rsidRPr="00AF1E17">
              <w:rPr>
                <w:rFonts w:cs="Arial"/>
                <w:color w:val="000000"/>
                <w:szCs w:val="22"/>
                <w:lang w:val="en-GB" w:eastAsia="cs-CZ"/>
              </w:rPr>
              <w:t xml:space="preserve"> a </w:t>
            </w:r>
            <w:proofErr w:type="spellStart"/>
            <w:r w:rsidRPr="00AF1E17">
              <w:rPr>
                <w:rFonts w:cs="Arial"/>
                <w:color w:val="000000"/>
                <w:szCs w:val="22"/>
                <w:lang w:val="en-GB" w:eastAsia="cs-CZ"/>
              </w:rPr>
              <w:t>průmyslový</w:t>
            </w:r>
            <w:proofErr w:type="spellEnd"/>
            <w:r w:rsidRPr="00AF1E17">
              <w:rPr>
                <w:rFonts w:cs="Arial"/>
                <w:color w:val="000000"/>
                <w:szCs w:val="22"/>
                <w:lang w:val="en-GB" w:eastAsia="cs-CZ"/>
              </w:rPr>
              <w:t xml:space="preserve"> holding </w:t>
            </w:r>
            <w:proofErr w:type="spellStart"/>
            <w:r w:rsidRPr="00AF1E17">
              <w:rPr>
                <w:rFonts w:cs="Arial"/>
                <w:color w:val="000000"/>
                <w:szCs w:val="22"/>
                <w:lang w:val="en-GB" w:eastAsia="cs-CZ"/>
              </w:rPr>
              <w:t>a.s</w:t>
            </w:r>
            <w:proofErr w:type="spellEnd"/>
            <w:r w:rsidRPr="00AF1E17">
              <w:rPr>
                <w:rFonts w:cs="Arial"/>
                <w:color w:val="000000"/>
                <w:szCs w:val="22"/>
                <w:lang w:val="en-GB" w:eastAsia="cs-CZ"/>
              </w:rPr>
              <w:t>.</w:t>
            </w:r>
          </w:p>
        </w:tc>
        <w:tc>
          <w:tcPr>
            <w:tcW w:w="1276" w:type="dxa"/>
            <w:gridSpan w:val="2"/>
            <w:tcBorders>
              <w:top w:val="nil"/>
              <w:left w:val="nil"/>
              <w:bottom w:val="single" w:sz="4" w:space="0" w:color="auto"/>
              <w:right w:val="single" w:sz="4" w:space="0" w:color="auto"/>
            </w:tcBorders>
            <w:shd w:val="clear" w:color="auto" w:fill="auto"/>
            <w:noWrap/>
          </w:tcPr>
          <w:p w:rsidR="00C43FA2" w:rsidRPr="00AF1E17" w:rsidRDefault="00C43FA2">
            <w:pPr>
              <w:rPr>
                <w:lang w:val="en-GB"/>
              </w:rPr>
            </w:pPr>
            <w:r w:rsidRPr="00AF1E17">
              <w:rPr>
                <w:rFonts w:cs="Arial"/>
                <w:color w:val="000000"/>
                <w:szCs w:val="22"/>
                <w:lang w:val="en-GB" w:eastAsia="cs-CZ"/>
              </w:rPr>
              <w:t>Czech Republic</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516</w:t>
            </w:r>
          </w:p>
        </w:tc>
      </w:tr>
      <w:tr w:rsidR="00C43FA2" w:rsidRPr="00AF1E17" w:rsidTr="00321E0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2</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C43FA2">
            <w:pPr>
              <w:rPr>
                <w:rFonts w:cs="Arial"/>
                <w:color w:val="000000"/>
                <w:lang w:val="en-GB" w:eastAsia="cs-CZ"/>
              </w:rPr>
            </w:pPr>
            <w:proofErr w:type="spellStart"/>
            <w:r w:rsidRPr="00AF1E17">
              <w:rPr>
                <w:rFonts w:cs="Arial"/>
                <w:color w:val="000000"/>
                <w:szCs w:val="22"/>
                <w:lang w:val="en-GB" w:eastAsia="cs-CZ"/>
              </w:rPr>
              <w:t>Elektrárna</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Chvaletice</w:t>
            </w:r>
            <w:proofErr w:type="spellEnd"/>
            <w:r w:rsidRPr="00AF1E17">
              <w:rPr>
                <w:rFonts w:cs="Arial"/>
                <w:color w:val="000000"/>
                <w:szCs w:val="22"/>
                <w:lang w:val="en-GB" w:eastAsia="cs-CZ"/>
              </w:rPr>
              <w:t xml:space="preserve"> (100%)</w:t>
            </w:r>
          </w:p>
        </w:tc>
        <w:tc>
          <w:tcPr>
            <w:tcW w:w="1417" w:type="dxa"/>
            <w:tcBorders>
              <w:top w:val="single" w:sz="4" w:space="0" w:color="auto"/>
              <w:left w:val="nil"/>
              <w:bottom w:val="single" w:sz="4" w:space="0" w:color="auto"/>
              <w:right w:val="single" w:sz="4" w:space="0" w:color="auto"/>
            </w:tcBorders>
            <w:vAlign w:val="bottom"/>
          </w:tcPr>
          <w:p w:rsidR="00C43FA2" w:rsidRPr="00AF1E17" w:rsidRDefault="00C43FA2" w:rsidP="00C43FA2">
            <w:pPr>
              <w:rPr>
                <w:rFonts w:cs="Arial"/>
                <w:color w:val="000000"/>
                <w:lang w:val="en-GB" w:eastAsia="cs-CZ"/>
              </w:rPr>
            </w:pPr>
            <w:r w:rsidRPr="00AF1E17">
              <w:rPr>
                <w:rFonts w:cs="Arial"/>
                <w:color w:val="000000"/>
                <w:szCs w:val="22"/>
                <w:lang w:val="en-GB" w:eastAsia="cs-CZ"/>
              </w:rPr>
              <w:t>Czech Republic</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proofErr w:type="spellStart"/>
            <w:r w:rsidRPr="00AF1E17">
              <w:rPr>
                <w:rFonts w:cs="Arial"/>
                <w:color w:val="000000"/>
                <w:szCs w:val="22"/>
                <w:lang w:val="en-GB" w:eastAsia="cs-CZ"/>
              </w:rPr>
              <w:t>Litvínovská</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uhelná</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a.s</w:t>
            </w:r>
            <w:proofErr w:type="spellEnd"/>
            <w:r w:rsidRPr="00AF1E17">
              <w:rPr>
                <w:rFonts w:cs="Arial"/>
                <w:color w:val="000000"/>
                <w:szCs w:val="22"/>
                <w:lang w:val="en-GB" w:eastAsia="cs-CZ"/>
              </w:rPr>
              <w:t>.</w:t>
            </w:r>
          </w:p>
        </w:tc>
        <w:tc>
          <w:tcPr>
            <w:tcW w:w="1276" w:type="dxa"/>
            <w:gridSpan w:val="2"/>
            <w:tcBorders>
              <w:top w:val="nil"/>
              <w:left w:val="nil"/>
              <w:bottom w:val="single" w:sz="4" w:space="0" w:color="auto"/>
              <w:right w:val="single" w:sz="4" w:space="0" w:color="auto"/>
            </w:tcBorders>
            <w:shd w:val="clear" w:color="auto" w:fill="auto"/>
            <w:noWrap/>
          </w:tcPr>
          <w:p w:rsidR="00C43FA2" w:rsidRPr="00AF1E17" w:rsidRDefault="00C43FA2">
            <w:pPr>
              <w:rPr>
                <w:lang w:val="en-GB"/>
              </w:rPr>
            </w:pPr>
            <w:r w:rsidRPr="00AF1E17">
              <w:rPr>
                <w:rFonts w:cs="Arial"/>
                <w:color w:val="000000"/>
                <w:szCs w:val="22"/>
                <w:lang w:val="en-GB" w:eastAsia="cs-CZ"/>
              </w:rPr>
              <w:t>Czech Republic</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207</w:t>
            </w:r>
          </w:p>
        </w:tc>
      </w:tr>
      <w:tr w:rsidR="00C43FA2" w:rsidRPr="00AF1E17" w:rsidTr="00321E0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3</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C43FA2">
            <w:pPr>
              <w:rPr>
                <w:rFonts w:cs="Arial"/>
                <w:color w:val="000000"/>
                <w:lang w:val="en-GB" w:eastAsia="cs-CZ"/>
              </w:rPr>
            </w:pPr>
            <w:proofErr w:type="spellStart"/>
            <w:r w:rsidRPr="00AF1E17">
              <w:rPr>
                <w:rFonts w:cs="Arial"/>
                <w:color w:val="000000"/>
                <w:szCs w:val="22"/>
                <w:lang w:val="en-GB" w:eastAsia="cs-CZ"/>
              </w:rPr>
              <w:t>Část</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skupiny</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Generali</w:t>
            </w:r>
            <w:proofErr w:type="spellEnd"/>
            <w:r w:rsidRPr="00AF1E17">
              <w:rPr>
                <w:rFonts w:cs="Arial"/>
                <w:color w:val="000000"/>
                <w:szCs w:val="22"/>
                <w:lang w:val="en-GB" w:eastAsia="cs-CZ"/>
              </w:rPr>
              <w:t xml:space="preserve"> PPF Holding (increase by 51%)</w:t>
            </w:r>
          </w:p>
        </w:tc>
        <w:tc>
          <w:tcPr>
            <w:tcW w:w="1417" w:type="dxa"/>
            <w:tcBorders>
              <w:top w:val="single" w:sz="4" w:space="0" w:color="auto"/>
              <w:left w:val="nil"/>
              <w:bottom w:val="single" w:sz="4" w:space="0" w:color="auto"/>
              <w:right w:val="single" w:sz="4" w:space="0" w:color="auto"/>
            </w:tcBorders>
            <w:vAlign w:val="bottom"/>
          </w:tcPr>
          <w:p w:rsidR="00C43FA2" w:rsidRPr="00AF1E17" w:rsidRDefault="00C43FA2" w:rsidP="00C43FA2">
            <w:pPr>
              <w:rPr>
                <w:rFonts w:cs="Arial"/>
                <w:color w:val="000000"/>
                <w:lang w:val="en-GB" w:eastAsia="cs-CZ"/>
              </w:rPr>
            </w:pPr>
            <w:r w:rsidRPr="00AF1E17">
              <w:rPr>
                <w:rFonts w:cs="Arial"/>
                <w:color w:val="000000"/>
                <w:szCs w:val="22"/>
                <w:lang w:val="en-GB" w:eastAsia="cs-CZ"/>
              </w:rPr>
              <w:t>Russia, Ukraine, Kazakhstan, Belarus</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r w:rsidRPr="00AF1E17">
              <w:rPr>
                <w:rFonts w:cs="Arial"/>
                <w:color w:val="000000"/>
                <w:szCs w:val="22"/>
                <w:lang w:val="en-GB" w:eastAsia="cs-CZ"/>
              </w:rPr>
              <w:t>PPF Group</w:t>
            </w:r>
          </w:p>
        </w:tc>
        <w:tc>
          <w:tcPr>
            <w:tcW w:w="1276" w:type="dxa"/>
            <w:gridSpan w:val="2"/>
            <w:tcBorders>
              <w:top w:val="nil"/>
              <w:left w:val="nil"/>
              <w:bottom w:val="single" w:sz="4" w:space="0" w:color="auto"/>
              <w:right w:val="single" w:sz="4" w:space="0" w:color="auto"/>
            </w:tcBorders>
            <w:shd w:val="clear" w:color="auto" w:fill="auto"/>
            <w:noWrap/>
          </w:tcPr>
          <w:p w:rsidR="00C43FA2" w:rsidRPr="00AF1E17" w:rsidRDefault="00C43FA2">
            <w:pPr>
              <w:rPr>
                <w:lang w:val="en-GB"/>
              </w:rPr>
            </w:pPr>
            <w:r w:rsidRPr="00AF1E17">
              <w:rPr>
                <w:rFonts w:cs="Arial"/>
                <w:color w:val="000000"/>
                <w:szCs w:val="22"/>
                <w:lang w:val="en-GB" w:eastAsia="cs-CZ"/>
              </w:rPr>
              <w:t>Czech Republic</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105**</w:t>
            </w:r>
          </w:p>
        </w:tc>
      </w:tr>
      <w:tr w:rsidR="00C43FA2" w:rsidRPr="00AF1E17" w:rsidTr="00321E00">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4</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C43FA2">
            <w:pPr>
              <w:rPr>
                <w:rFonts w:cs="Arial"/>
                <w:color w:val="000000"/>
                <w:lang w:val="en-GB" w:eastAsia="cs-CZ"/>
              </w:rPr>
            </w:pPr>
            <w:r w:rsidRPr="00AF1E17">
              <w:rPr>
                <w:rFonts w:cs="Arial"/>
                <w:color w:val="000000"/>
                <w:szCs w:val="22"/>
                <w:lang w:val="en-GB" w:eastAsia="cs-CZ"/>
              </w:rPr>
              <w:t>RAFINÉRIE IZHEVSK (100%)</w:t>
            </w:r>
          </w:p>
        </w:tc>
        <w:tc>
          <w:tcPr>
            <w:tcW w:w="1417" w:type="dxa"/>
            <w:tcBorders>
              <w:top w:val="single" w:sz="4" w:space="0" w:color="auto"/>
              <w:left w:val="nil"/>
              <w:bottom w:val="single" w:sz="4" w:space="0" w:color="auto"/>
              <w:right w:val="single" w:sz="4" w:space="0" w:color="auto"/>
            </w:tcBorders>
            <w:vAlign w:val="bottom"/>
          </w:tcPr>
          <w:p w:rsidR="00C43FA2" w:rsidRPr="00AF1E17" w:rsidRDefault="00C43FA2" w:rsidP="00C43FA2">
            <w:pPr>
              <w:rPr>
                <w:rFonts w:cs="Arial"/>
                <w:color w:val="000000"/>
                <w:lang w:val="en-GB" w:eastAsia="cs-CZ"/>
              </w:rPr>
            </w:pPr>
            <w:r w:rsidRPr="00AF1E17">
              <w:rPr>
                <w:rFonts w:cs="Arial"/>
                <w:color w:val="000000"/>
                <w:szCs w:val="22"/>
                <w:lang w:val="en-GB" w:eastAsia="cs-CZ"/>
              </w:rPr>
              <w:t>Russia</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proofErr w:type="spellStart"/>
            <w:r w:rsidRPr="00AF1E17">
              <w:rPr>
                <w:rFonts w:cs="Arial"/>
                <w:color w:val="000000"/>
                <w:szCs w:val="22"/>
                <w:lang w:val="en-GB" w:eastAsia="cs-CZ"/>
              </w:rPr>
              <w:t>Obchodní</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tiskárny</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a.s</w:t>
            </w:r>
            <w:proofErr w:type="spellEnd"/>
            <w:r w:rsidRPr="00AF1E17">
              <w:rPr>
                <w:rFonts w:cs="Arial"/>
                <w:color w:val="000000"/>
                <w:szCs w:val="22"/>
                <w:lang w:val="en-GB" w:eastAsia="cs-CZ"/>
              </w:rPr>
              <w:t>.</w:t>
            </w:r>
          </w:p>
        </w:tc>
        <w:tc>
          <w:tcPr>
            <w:tcW w:w="1276" w:type="dxa"/>
            <w:gridSpan w:val="2"/>
            <w:tcBorders>
              <w:top w:val="nil"/>
              <w:left w:val="nil"/>
              <w:bottom w:val="single" w:sz="4" w:space="0" w:color="auto"/>
              <w:right w:val="single" w:sz="4" w:space="0" w:color="auto"/>
            </w:tcBorders>
            <w:shd w:val="clear" w:color="auto" w:fill="auto"/>
            <w:noWrap/>
          </w:tcPr>
          <w:p w:rsidR="00C43FA2" w:rsidRPr="00AF1E17" w:rsidRDefault="00C43FA2">
            <w:pPr>
              <w:rPr>
                <w:lang w:val="en-GB"/>
              </w:rPr>
            </w:pPr>
            <w:r w:rsidRPr="00AF1E17">
              <w:rPr>
                <w:rFonts w:cs="Arial"/>
                <w:color w:val="000000"/>
                <w:szCs w:val="22"/>
                <w:lang w:val="en-GB" w:eastAsia="cs-CZ"/>
              </w:rPr>
              <w:t>Czech Republic</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65</w:t>
            </w:r>
          </w:p>
        </w:tc>
      </w:tr>
      <w:tr w:rsidR="00C43FA2" w:rsidRPr="00AF1E17" w:rsidTr="00BA381C">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5</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C43FA2">
            <w:pPr>
              <w:rPr>
                <w:rFonts w:cs="Arial"/>
                <w:color w:val="000000"/>
                <w:lang w:val="en-GB" w:eastAsia="cs-CZ"/>
              </w:rPr>
            </w:pPr>
            <w:r w:rsidRPr="00AF1E17">
              <w:rPr>
                <w:rFonts w:cs="Arial"/>
                <w:color w:val="000000"/>
                <w:szCs w:val="22"/>
                <w:lang w:val="en-GB" w:eastAsia="cs-CZ"/>
              </w:rPr>
              <w:t xml:space="preserve">D PLAST-EFTEC </w:t>
            </w:r>
            <w:proofErr w:type="spellStart"/>
            <w:r w:rsidRPr="00AF1E17">
              <w:rPr>
                <w:rFonts w:cs="Arial"/>
                <w:color w:val="000000"/>
                <w:szCs w:val="22"/>
                <w:lang w:val="en-GB" w:eastAsia="cs-CZ"/>
              </w:rPr>
              <w:t>a.s</w:t>
            </w:r>
            <w:proofErr w:type="spellEnd"/>
            <w:r w:rsidRPr="00AF1E17">
              <w:rPr>
                <w:rFonts w:cs="Arial"/>
                <w:color w:val="000000"/>
                <w:szCs w:val="22"/>
                <w:lang w:val="en-GB" w:eastAsia="cs-CZ"/>
              </w:rPr>
              <w:t>. (increase by 50%)</w:t>
            </w:r>
          </w:p>
        </w:tc>
        <w:tc>
          <w:tcPr>
            <w:tcW w:w="1417" w:type="dxa"/>
            <w:tcBorders>
              <w:top w:val="single" w:sz="4" w:space="0" w:color="auto"/>
              <w:left w:val="nil"/>
              <w:bottom w:val="single" w:sz="4" w:space="0" w:color="auto"/>
              <w:right w:val="single" w:sz="4" w:space="0" w:color="auto"/>
            </w:tcBorders>
          </w:tcPr>
          <w:p w:rsidR="00C43FA2" w:rsidRPr="00AF1E17" w:rsidRDefault="00C43FA2">
            <w:pPr>
              <w:rPr>
                <w:lang w:val="en-GB"/>
              </w:rPr>
            </w:pPr>
            <w:r w:rsidRPr="00AF1E17">
              <w:rPr>
                <w:rFonts w:cs="Arial"/>
                <w:color w:val="000000"/>
                <w:szCs w:val="22"/>
                <w:lang w:val="en-GB" w:eastAsia="cs-CZ"/>
              </w:rPr>
              <w:t>Czech Republic</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r w:rsidRPr="00AF1E17">
              <w:rPr>
                <w:rFonts w:cs="Arial"/>
                <w:color w:val="000000"/>
                <w:szCs w:val="22"/>
                <w:lang w:val="en-GB" w:eastAsia="cs-CZ"/>
              </w:rPr>
              <w:t>Ems-</w:t>
            </w:r>
            <w:proofErr w:type="spellStart"/>
            <w:r w:rsidRPr="00AF1E17">
              <w:rPr>
                <w:rFonts w:cs="Arial"/>
                <w:color w:val="000000"/>
                <w:szCs w:val="22"/>
                <w:lang w:val="en-GB" w:eastAsia="cs-CZ"/>
              </w:rPr>
              <w:t>chemie</w:t>
            </w:r>
            <w:proofErr w:type="spellEnd"/>
            <w:r w:rsidRPr="00AF1E17">
              <w:rPr>
                <w:rFonts w:cs="Arial"/>
                <w:color w:val="000000"/>
                <w:szCs w:val="22"/>
                <w:lang w:val="en-GB" w:eastAsia="cs-CZ"/>
              </w:rPr>
              <w:t xml:space="preserve"> holding AG</w:t>
            </w:r>
          </w:p>
        </w:tc>
        <w:tc>
          <w:tcPr>
            <w:tcW w:w="1276"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C43FA2">
            <w:pPr>
              <w:rPr>
                <w:rFonts w:cs="Arial"/>
                <w:color w:val="000000"/>
                <w:lang w:val="en-GB" w:eastAsia="cs-CZ"/>
              </w:rPr>
            </w:pPr>
            <w:r w:rsidRPr="00AF1E17">
              <w:rPr>
                <w:rFonts w:cs="Arial"/>
                <w:color w:val="000000"/>
                <w:szCs w:val="22"/>
                <w:lang w:val="en-GB" w:eastAsia="cs-CZ"/>
              </w:rPr>
              <w:t>Switzerland</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65</w:t>
            </w:r>
          </w:p>
        </w:tc>
      </w:tr>
      <w:tr w:rsidR="00C43FA2" w:rsidRPr="00AF1E17" w:rsidTr="00BA381C">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6</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proofErr w:type="spellStart"/>
            <w:r w:rsidRPr="00AF1E17">
              <w:rPr>
                <w:rFonts w:cs="Arial"/>
                <w:color w:val="000000"/>
                <w:szCs w:val="22"/>
                <w:lang w:val="en-GB" w:eastAsia="cs-CZ"/>
              </w:rPr>
              <w:t>Teplárna</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Otrokovice</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a.s</w:t>
            </w:r>
            <w:proofErr w:type="spellEnd"/>
            <w:r w:rsidRPr="00AF1E17">
              <w:rPr>
                <w:rFonts w:cs="Arial"/>
                <w:color w:val="000000"/>
                <w:szCs w:val="22"/>
                <w:lang w:val="en-GB" w:eastAsia="cs-CZ"/>
              </w:rPr>
              <w:t>. (100 %)</w:t>
            </w:r>
          </w:p>
        </w:tc>
        <w:tc>
          <w:tcPr>
            <w:tcW w:w="1417" w:type="dxa"/>
            <w:tcBorders>
              <w:top w:val="single" w:sz="4" w:space="0" w:color="auto"/>
              <w:left w:val="nil"/>
              <w:bottom w:val="single" w:sz="4" w:space="0" w:color="auto"/>
              <w:right w:val="single" w:sz="4" w:space="0" w:color="auto"/>
            </w:tcBorders>
          </w:tcPr>
          <w:p w:rsidR="00C43FA2" w:rsidRPr="00AF1E17" w:rsidRDefault="00C43FA2">
            <w:pPr>
              <w:rPr>
                <w:lang w:val="en-GB"/>
              </w:rPr>
            </w:pPr>
            <w:r w:rsidRPr="00AF1E17">
              <w:rPr>
                <w:rFonts w:cs="Arial"/>
                <w:color w:val="000000"/>
                <w:szCs w:val="22"/>
                <w:lang w:val="en-GB" w:eastAsia="cs-CZ"/>
              </w:rPr>
              <w:t>Czech Republic</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proofErr w:type="spellStart"/>
            <w:r w:rsidRPr="00AF1E17">
              <w:rPr>
                <w:rFonts w:cs="Arial"/>
                <w:color w:val="000000"/>
                <w:szCs w:val="22"/>
                <w:lang w:val="en-GB" w:eastAsia="cs-CZ"/>
              </w:rPr>
              <w:t>Petr</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Lamich</w:t>
            </w:r>
            <w:proofErr w:type="spellEnd"/>
          </w:p>
        </w:tc>
        <w:tc>
          <w:tcPr>
            <w:tcW w:w="1276"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r w:rsidRPr="00AF1E17">
              <w:rPr>
                <w:rFonts w:cs="Arial"/>
                <w:color w:val="000000"/>
                <w:szCs w:val="22"/>
                <w:lang w:val="en-GB" w:eastAsia="cs-CZ"/>
              </w:rPr>
              <w:t>Czech Republic</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51</w:t>
            </w:r>
          </w:p>
        </w:tc>
      </w:tr>
      <w:tr w:rsidR="00C43FA2" w:rsidRPr="00AF1E17" w:rsidTr="00BA381C">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7</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C43FA2">
            <w:pPr>
              <w:rPr>
                <w:rFonts w:cs="Arial"/>
                <w:color w:val="000000"/>
                <w:lang w:val="en-GB" w:eastAsia="cs-CZ"/>
              </w:rPr>
            </w:pPr>
            <w:proofErr w:type="spellStart"/>
            <w:r w:rsidRPr="00AF1E17">
              <w:rPr>
                <w:rFonts w:cs="Arial"/>
                <w:color w:val="000000"/>
                <w:szCs w:val="22"/>
                <w:lang w:val="en-GB" w:eastAsia="cs-CZ"/>
              </w:rPr>
              <w:t>Stará</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Celnice</w:t>
            </w:r>
            <w:proofErr w:type="spellEnd"/>
            <w:r w:rsidRPr="00AF1E17">
              <w:rPr>
                <w:rFonts w:cs="Arial"/>
                <w:color w:val="000000"/>
                <w:szCs w:val="22"/>
                <w:lang w:val="en-GB" w:eastAsia="cs-CZ"/>
              </w:rPr>
              <w:t xml:space="preserve"> (100%)</w:t>
            </w:r>
          </w:p>
        </w:tc>
        <w:tc>
          <w:tcPr>
            <w:tcW w:w="1417" w:type="dxa"/>
            <w:tcBorders>
              <w:top w:val="single" w:sz="4" w:space="0" w:color="auto"/>
              <w:left w:val="nil"/>
              <w:bottom w:val="single" w:sz="4" w:space="0" w:color="auto"/>
              <w:right w:val="single" w:sz="4" w:space="0" w:color="auto"/>
            </w:tcBorders>
          </w:tcPr>
          <w:p w:rsidR="00C43FA2" w:rsidRPr="00AF1E17" w:rsidRDefault="00C43FA2">
            <w:pPr>
              <w:rPr>
                <w:lang w:val="en-GB"/>
              </w:rPr>
            </w:pPr>
            <w:r w:rsidRPr="00AF1E17">
              <w:rPr>
                <w:rFonts w:cs="Arial"/>
                <w:color w:val="000000"/>
                <w:szCs w:val="22"/>
                <w:lang w:val="en-GB" w:eastAsia="cs-CZ"/>
              </w:rPr>
              <w:t>Czech Republic</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r w:rsidRPr="00AF1E17">
              <w:rPr>
                <w:rFonts w:cs="Arial"/>
                <w:color w:val="000000"/>
                <w:szCs w:val="22"/>
                <w:lang w:val="en-GB" w:eastAsia="cs-CZ"/>
              </w:rPr>
              <w:t>Invesco Real Estate</w:t>
            </w:r>
          </w:p>
        </w:tc>
        <w:tc>
          <w:tcPr>
            <w:tcW w:w="1276"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r w:rsidRPr="00AF1E17">
              <w:rPr>
                <w:rFonts w:cs="Arial"/>
                <w:color w:val="000000"/>
                <w:szCs w:val="22"/>
                <w:lang w:val="en-GB" w:eastAsia="cs-CZ"/>
              </w:rPr>
              <w:t>USA</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50</w:t>
            </w:r>
          </w:p>
        </w:tc>
      </w:tr>
      <w:tr w:rsidR="00C43FA2" w:rsidRPr="00AF1E17" w:rsidTr="00B81BC6">
        <w:trPr>
          <w:trHeight w:val="51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8</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C43FA2">
            <w:pPr>
              <w:rPr>
                <w:rFonts w:cs="Arial"/>
                <w:color w:val="000000"/>
                <w:lang w:val="en-GB" w:eastAsia="cs-CZ"/>
              </w:rPr>
            </w:pPr>
            <w:proofErr w:type="spellStart"/>
            <w:r w:rsidRPr="00AF1E17">
              <w:rPr>
                <w:rFonts w:cs="Arial"/>
                <w:color w:val="000000"/>
                <w:szCs w:val="22"/>
                <w:lang w:val="en-GB" w:eastAsia="cs-CZ"/>
              </w:rPr>
              <w:t>Kancelářský</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komplex</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Zlatý</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kříž</w:t>
            </w:r>
            <w:proofErr w:type="spellEnd"/>
            <w:r w:rsidRPr="00AF1E17">
              <w:rPr>
                <w:rFonts w:cs="Arial"/>
                <w:color w:val="000000"/>
                <w:szCs w:val="22"/>
                <w:lang w:val="en-GB" w:eastAsia="cs-CZ"/>
              </w:rPr>
              <w:t xml:space="preserve"> (100%)</w:t>
            </w:r>
          </w:p>
        </w:tc>
        <w:tc>
          <w:tcPr>
            <w:tcW w:w="1417" w:type="dxa"/>
            <w:tcBorders>
              <w:top w:val="single" w:sz="4" w:space="0" w:color="auto"/>
              <w:left w:val="nil"/>
              <w:bottom w:val="single" w:sz="4" w:space="0" w:color="auto"/>
              <w:right w:val="single" w:sz="4" w:space="0" w:color="auto"/>
            </w:tcBorders>
          </w:tcPr>
          <w:p w:rsidR="00C43FA2" w:rsidRPr="00AF1E17" w:rsidRDefault="00C43FA2">
            <w:pPr>
              <w:rPr>
                <w:lang w:val="en-GB"/>
              </w:rPr>
            </w:pPr>
            <w:r w:rsidRPr="00AF1E17">
              <w:rPr>
                <w:rFonts w:cs="Arial"/>
                <w:color w:val="000000"/>
                <w:szCs w:val="22"/>
                <w:lang w:val="en-GB" w:eastAsia="cs-CZ"/>
              </w:rPr>
              <w:t>Czech Republic</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proofErr w:type="spellStart"/>
            <w:r w:rsidRPr="00AF1E17">
              <w:rPr>
                <w:rFonts w:cs="Arial"/>
                <w:color w:val="000000"/>
                <w:szCs w:val="22"/>
                <w:lang w:val="en-GB" w:eastAsia="cs-CZ"/>
              </w:rPr>
              <w:t>Anero</w:t>
            </w:r>
            <w:proofErr w:type="spellEnd"/>
          </w:p>
        </w:tc>
        <w:tc>
          <w:tcPr>
            <w:tcW w:w="1276" w:type="dxa"/>
            <w:gridSpan w:val="2"/>
            <w:tcBorders>
              <w:top w:val="nil"/>
              <w:left w:val="nil"/>
              <w:bottom w:val="single" w:sz="4" w:space="0" w:color="auto"/>
              <w:right w:val="single" w:sz="4" w:space="0" w:color="auto"/>
            </w:tcBorders>
            <w:shd w:val="clear" w:color="auto" w:fill="auto"/>
            <w:noWrap/>
          </w:tcPr>
          <w:p w:rsidR="00C43FA2" w:rsidRPr="00AF1E17" w:rsidRDefault="00C43FA2">
            <w:pPr>
              <w:rPr>
                <w:lang w:val="en-GB"/>
              </w:rPr>
            </w:pPr>
            <w:r w:rsidRPr="00AF1E17">
              <w:rPr>
                <w:rFonts w:cs="Arial"/>
                <w:color w:val="000000"/>
                <w:szCs w:val="22"/>
                <w:lang w:val="en-GB" w:eastAsia="cs-CZ"/>
              </w:rPr>
              <w:t>Czech Republic</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31</w:t>
            </w:r>
          </w:p>
        </w:tc>
      </w:tr>
      <w:tr w:rsidR="00C43FA2" w:rsidRPr="00AF1E17" w:rsidTr="00B81BC6">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9</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EA1603" w:rsidRDefault="00C43FA2" w:rsidP="00C43FA2">
            <w:pPr>
              <w:rPr>
                <w:rFonts w:cs="Arial"/>
                <w:color w:val="000000"/>
                <w:lang w:val="pl-PL" w:eastAsia="cs-CZ"/>
              </w:rPr>
            </w:pPr>
            <w:r w:rsidRPr="00EA1603">
              <w:rPr>
                <w:rFonts w:cs="Arial"/>
                <w:color w:val="000000"/>
                <w:szCs w:val="22"/>
                <w:lang w:val="pl-PL" w:eastAsia="cs-CZ"/>
              </w:rPr>
              <w:t>MBF Czech s.r.o. (100%)</w:t>
            </w:r>
          </w:p>
        </w:tc>
        <w:tc>
          <w:tcPr>
            <w:tcW w:w="1417" w:type="dxa"/>
            <w:tcBorders>
              <w:top w:val="single" w:sz="4" w:space="0" w:color="auto"/>
              <w:left w:val="nil"/>
              <w:bottom w:val="single" w:sz="4" w:space="0" w:color="auto"/>
              <w:right w:val="single" w:sz="4" w:space="0" w:color="auto"/>
            </w:tcBorders>
          </w:tcPr>
          <w:p w:rsidR="00C43FA2" w:rsidRPr="00AF1E17" w:rsidRDefault="00C43FA2">
            <w:pPr>
              <w:rPr>
                <w:lang w:val="en-GB"/>
              </w:rPr>
            </w:pPr>
            <w:r w:rsidRPr="00AF1E17">
              <w:rPr>
                <w:rFonts w:cs="Arial"/>
                <w:color w:val="000000"/>
                <w:szCs w:val="22"/>
                <w:lang w:val="en-GB" w:eastAsia="cs-CZ"/>
              </w:rPr>
              <w:t>Czech Republic</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proofErr w:type="spellStart"/>
            <w:r w:rsidRPr="00AF1E17">
              <w:rPr>
                <w:rFonts w:cs="Arial"/>
                <w:color w:val="000000"/>
                <w:szCs w:val="22"/>
                <w:lang w:val="en-GB" w:eastAsia="cs-CZ"/>
              </w:rPr>
              <w:t>PREměření</w:t>
            </w:r>
            <w:proofErr w:type="spellEnd"/>
            <w:r w:rsidRPr="00AF1E17">
              <w:rPr>
                <w:rFonts w:cs="Arial"/>
                <w:color w:val="000000"/>
                <w:szCs w:val="22"/>
                <w:lang w:val="en-GB" w:eastAsia="cs-CZ"/>
              </w:rPr>
              <w:t xml:space="preserve">, </w:t>
            </w:r>
            <w:proofErr w:type="spellStart"/>
            <w:r w:rsidRPr="00AF1E17">
              <w:rPr>
                <w:rFonts w:cs="Arial"/>
                <w:color w:val="000000"/>
                <w:szCs w:val="22"/>
                <w:lang w:val="en-GB" w:eastAsia="cs-CZ"/>
              </w:rPr>
              <w:t>a.s</w:t>
            </w:r>
            <w:proofErr w:type="spellEnd"/>
            <w:r w:rsidRPr="00AF1E17">
              <w:rPr>
                <w:rFonts w:cs="Arial"/>
                <w:color w:val="000000"/>
                <w:szCs w:val="22"/>
                <w:lang w:val="en-GB" w:eastAsia="cs-CZ"/>
              </w:rPr>
              <w:t>.</w:t>
            </w:r>
          </w:p>
        </w:tc>
        <w:tc>
          <w:tcPr>
            <w:tcW w:w="1276" w:type="dxa"/>
            <w:gridSpan w:val="2"/>
            <w:tcBorders>
              <w:top w:val="nil"/>
              <w:left w:val="nil"/>
              <w:bottom w:val="single" w:sz="4" w:space="0" w:color="auto"/>
              <w:right w:val="single" w:sz="4" w:space="0" w:color="auto"/>
            </w:tcBorders>
            <w:shd w:val="clear" w:color="auto" w:fill="auto"/>
            <w:noWrap/>
          </w:tcPr>
          <w:p w:rsidR="00C43FA2" w:rsidRPr="00AF1E17" w:rsidRDefault="00C43FA2">
            <w:pPr>
              <w:rPr>
                <w:lang w:val="en-GB"/>
              </w:rPr>
            </w:pPr>
            <w:r w:rsidRPr="00AF1E17">
              <w:rPr>
                <w:rFonts w:cs="Arial"/>
                <w:color w:val="000000"/>
                <w:szCs w:val="22"/>
                <w:lang w:val="en-GB" w:eastAsia="cs-CZ"/>
              </w:rPr>
              <w:t>Czech Republic</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16</w:t>
            </w:r>
          </w:p>
        </w:tc>
      </w:tr>
      <w:tr w:rsidR="00C43FA2" w:rsidRPr="00AF1E17" w:rsidTr="00BA381C">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10</w:t>
            </w:r>
          </w:p>
        </w:tc>
        <w:tc>
          <w:tcPr>
            <w:tcW w:w="2141"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r w:rsidRPr="00AF1E17">
              <w:rPr>
                <w:rFonts w:cs="Arial"/>
                <w:color w:val="000000"/>
                <w:szCs w:val="22"/>
                <w:lang w:val="en-GB" w:eastAsia="cs-CZ"/>
              </w:rPr>
              <w:t xml:space="preserve">TYRES KNĚŽMOST, </w:t>
            </w:r>
            <w:proofErr w:type="spellStart"/>
            <w:r w:rsidRPr="00AF1E17">
              <w:rPr>
                <w:rFonts w:cs="Arial"/>
                <w:color w:val="000000"/>
                <w:szCs w:val="22"/>
                <w:lang w:val="en-GB" w:eastAsia="cs-CZ"/>
              </w:rPr>
              <w:t>a.s</w:t>
            </w:r>
            <w:proofErr w:type="spellEnd"/>
            <w:r w:rsidRPr="00AF1E17">
              <w:rPr>
                <w:rFonts w:cs="Arial"/>
                <w:color w:val="000000"/>
                <w:szCs w:val="22"/>
                <w:lang w:val="en-GB" w:eastAsia="cs-CZ"/>
              </w:rPr>
              <w:t>. (100%)</w:t>
            </w:r>
          </w:p>
        </w:tc>
        <w:tc>
          <w:tcPr>
            <w:tcW w:w="1417" w:type="dxa"/>
            <w:tcBorders>
              <w:top w:val="single" w:sz="4" w:space="0" w:color="auto"/>
              <w:left w:val="nil"/>
              <w:bottom w:val="single" w:sz="4" w:space="0" w:color="auto"/>
              <w:right w:val="single" w:sz="4" w:space="0" w:color="auto"/>
            </w:tcBorders>
          </w:tcPr>
          <w:p w:rsidR="00C43FA2" w:rsidRPr="00AF1E17" w:rsidRDefault="00C43FA2">
            <w:pPr>
              <w:rPr>
                <w:lang w:val="en-GB"/>
              </w:rPr>
            </w:pPr>
            <w:r w:rsidRPr="00AF1E17">
              <w:rPr>
                <w:rFonts w:cs="Arial"/>
                <w:color w:val="000000"/>
                <w:szCs w:val="22"/>
                <w:lang w:val="en-GB" w:eastAsia="cs-CZ"/>
              </w:rPr>
              <w:t>Czech Republic</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C43FA2" w:rsidRPr="00AF1E17" w:rsidRDefault="00C43FA2" w:rsidP="00693FF3">
            <w:pPr>
              <w:rPr>
                <w:rFonts w:cs="Arial"/>
                <w:color w:val="000000"/>
                <w:lang w:val="en-GB" w:eastAsia="cs-CZ"/>
              </w:rPr>
            </w:pPr>
            <w:r w:rsidRPr="00AF1E17">
              <w:rPr>
                <w:rFonts w:cs="Arial"/>
                <w:color w:val="000000"/>
                <w:szCs w:val="22"/>
                <w:lang w:val="en-GB" w:eastAsia="cs-CZ"/>
              </w:rPr>
              <w:t>HORSCH Group</w:t>
            </w:r>
          </w:p>
        </w:tc>
        <w:tc>
          <w:tcPr>
            <w:tcW w:w="1276" w:type="dxa"/>
            <w:gridSpan w:val="2"/>
            <w:tcBorders>
              <w:top w:val="nil"/>
              <w:left w:val="nil"/>
              <w:bottom w:val="single" w:sz="4" w:space="0" w:color="auto"/>
              <w:right w:val="single" w:sz="4" w:space="0" w:color="auto"/>
            </w:tcBorders>
            <w:shd w:val="clear" w:color="auto" w:fill="auto"/>
            <w:noWrap/>
            <w:vAlign w:val="bottom"/>
          </w:tcPr>
          <w:p w:rsidR="00C43FA2" w:rsidRPr="00AF1E17" w:rsidRDefault="00EC7476" w:rsidP="00C43FA2">
            <w:pPr>
              <w:rPr>
                <w:rFonts w:cs="Arial"/>
                <w:color w:val="000000"/>
                <w:lang w:val="en-GB" w:eastAsia="cs-CZ"/>
              </w:rPr>
            </w:pPr>
            <w:r>
              <w:rPr>
                <w:rFonts w:cs="Arial"/>
                <w:color w:val="000000"/>
                <w:szCs w:val="22"/>
                <w:lang w:val="en-GB" w:eastAsia="cs-CZ"/>
              </w:rPr>
              <w:t>Ge</w:t>
            </w:r>
            <w:r w:rsidR="00C43FA2" w:rsidRPr="00AF1E17">
              <w:rPr>
                <w:rFonts w:cs="Arial"/>
                <w:color w:val="000000"/>
                <w:szCs w:val="22"/>
                <w:lang w:val="en-GB" w:eastAsia="cs-CZ"/>
              </w:rPr>
              <w:t>rmany</w:t>
            </w:r>
          </w:p>
        </w:tc>
        <w:tc>
          <w:tcPr>
            <w:tcW w:w="1417" w:type="dxa"/>
            <w:gridSpan w:val="2"/>
            <w:tcBorders>
              <w:top w:val="nil"/>
              <w:left w:val="nil"/>
              <w:bottom w:val="single" w:sz="4" w:space="0" w:color="auto"/>
              <w:right w:val="single" w:sz="4" w:space="0" w:color="auto"/>
            </w:tcBorders>
            <w:shd w:val="clear" w:color="auto" w:fill="auto"/>
            <w:noWrap/>
            <w:vAlign w:val="bottom"/>
          </w:tcPr>
          <w:p w:rsidR="00C43FA2" w:rsidRPr="00AF1E17" w:rsidRDefault="00C43FA2" w:rsidP="00693FF3">
            <w:pPr>
              <w:jc w:val="right"/>
              <w:rPr>
                <w:rFonts w:cs="Arial"/>
                <w:color w:val="000000"/>
                <w:lang w:val="en-GB" w:eastAsia="cs-CZ"/>
              </w:rPr>
            </w:pPr>
            <w:r w:rsidRPr="00AF1E17">
              <w:rPr>
                <w:rFonts w:cs="Arial"/>
                <w:color w:val="000000"/>
                <w:szCs w:val="22"/>
                <w:lang w:val="en-GB" w:eastAsia="cs-CZ"/>
              </w:rPr>
              <w:t>13</w:t>
            </w:r>
          </w:p>
        </w:tc>
      </w:tr>
    </w:tbl>
    <w:p w:rsidR="002B5B60" w:rsidRPr="00AF1E17" w:rsidRDefault="00C43FA2" w:rsidP="002B5B60">
      <w:pPr>
        <w:autoSpaceDE w:val="0"/>
        <w:autoSpaceDN w:val="0"/>
        <w:adjustRightInd w:val="0"/>
        <w:spacing w:line="360" w:lineRule="auto"/>
        <w:rPr>
          <w:rFonts w:cs="Arial"/>
          <w:i/>
          <w:color w:val="000000"/>
          <w:szCs w:val="22"/>
          <w:lang w:val="en-GB"/>
        </w:rPr>
      </w:pPr>
      <w:r w:rsidRPr="00AF1E17">
        <w:rPr>
          <w:rFonts w:cs="Arial"/>
          <w:i/>
          <w:color w:val="000000"/>
          <w:szCs w:val="22"/>
          <w:lang w:val="en-GB"/>
        </w:rPr>
        <w:t>Source</w:t>
      </w:r>
      <w:r w:rsidR="002B5B60" w:rsidRPr="00AF1E17">
        <w:rPr>
          <w:rFonts w:cs="Arial"/>
          <w:i/>
          <w:color w:val="000000"/>
          <w:szCs w:val="22"/>
          <w:lang w:val="en-GB"/>
        </w:rPr>
        <w:t xml:space="preserve">: M &amp; A </w:t>
      </w:r>
      <w:proofErr w:type="spellStart"/>
      <w:r w:rsidR="002B5B60" w:rsidRPr="00AF1E17">
        <w:rPr>
          <w:rFonts w:cs="Arial"/>
          <w:i/>
          <w:color w:val="000000"/>
          <w:szCs w:val="22"/>
          <w:lang w:val="en-GB"/>
        </w:rPr>
        <w:t>Barometr</w:t>
      </w:r>
      <w:proofErr w:type="spellEnd"/>
      <w:r w:rsidR="002B5B60" w:rsidRPr="00AF1E17">
        <w:rPr>
          <w:rFonts w:cs="Arial"/>
          <w:i/>
          <w:color w:val="000000"/>
          <w:szCs w:val="22"/>
          <w:lang w:val="en-GB"/>
        </w:rPr>
        <w:t xml:space="preserve"> H1 EY</w:t>
      </w:r>
    </w:p>
    <w:p w:rsidR="002B5B60" w:rsidRPr="00AF1E17" w:rsidRDefault="00F66995" w:rsidP="00F66995">
      <w:pPr>
        <w:autoSpaceDE w:val="0"/>
        <w:autoSpaceDN w:val="0"/>
        <w:adjustRightInd w:val="0"/>
        <w:rPr>
          <w:rFonts w:cs="Arial"/>
          <w:i/>
          <w:color w:val="000000"/>
          <w:szCs w:val="20"/>
          <w:lang w:val="en-GB"/>
        </w:rPr>
      </w:pPr>
      <w:bookmarkStart w:id="0" w:name="_GoBack"/>
      <w:bookmarkEnd w:id="0"/>
      <w:r w:rsidRPr="00AF1E17">
        <w:rPr>
          <w:rFonts w:cs="Arial"/>
          <w:i/>
          <w:color w:val="000000"/>
          <w:szCs w:val="20"/>
          <w:lang w:val="en-GB"/>
        </w:rPr>
        <w:t xml:space="preserve">The acquisition of Net4gas (a gas transport system operator) by the Allianz and Borealis groups (the seller was RWE Group) was the largest reported transaction in H1 2013 (transaction size exceeded USD 2bn), though the deal was not completed until 2 August </w:t>
      </w:r>
      <w:r w:rsidR="002B5B60" w:rsidRPr="00AF1E17">
        <w:rPr>
          <w:rFonts w:cs="Arial"/>
          <w:i/>
          <w:color w:val="000000"/>
          <w:szCs w:val="20"/>
          <w:lang w:val="en-GB"/>
        </w:rPr>
        <w:t>2013.</w:t>
      </w:r>
    </w:p>
    <w:p w:rsidR="002B5B60" w:rsidRDefault="002B5B60" w:rsidP="00E92474">
      <w:pPr>
        <w:autoSpaceDE w:val="0"/>
        <w:autoSpaceDN w:val="0"/>
        <w:adjustRightInd w:val="0"/>
        <w:rPr>
          <w:rFonts w:cs="Arial"/>
          <w:i/>
          <w:color w:val="000000"/>
          <w:szCs w:val="20"/>
          <w:lang w:val="en-GB"/>
        </w:rPr>
      </w:pPr>
      <w:r w:rsidRPr="00AF1E17">
        <w:rPr>
          <w:rFonts w:cs="Arial"/>
          <w:i/>
          <w:color w:val="000000"/>
          <w:szCs w:val="20"/>
          <w:lang w:val="en-GB"/>
        </w:rPr>
        <w:t xml:space="preserve">** </w:t>
      </w:r>
      <w:r w:rsidR="00F66995" w:rsidRPr="00AF1E17">
        <w:rPr>
          <w:rFonts w:cs="Arial"/>
          <w:i/>
          <w:color w:val="000000"/>
          <w:szCs w:val="20"/>
          <w:lang w:val="en-GB"/>
        </w:rPr>
        <w:t xml:space="preserve">The transaction is part of a share settlement process following the exit of PPF Group from a joint venture with the Italian insurer </w:t>
      </w:r>
      <w:proofErr w:type="spellStart"/>
      <w:r w:rsidR="00F66995" w:rsidRPr="00AF1E17">
        <w:rPr>
          <w:rFonts w:cs="Arial"/>
          <w:i/>
          <w:color w:val="000000"/>
          <w:szCs w:val="20"/>
          <w:lang w:val="en-GB"/>
        </w:rPr>
        <w:t>Generali</w:t>
      </w:r>
      <w:proofErr w:type="spellEnd"/>
      <w:r w:rsidR="00F66995" w:rsidRPr="00AF1E17">
        <w:rPr>
          <w:rFonts w:cs="Arial"/>
          <w:i/>
          <w:color w:val="000000"/>
          <w:szCs w:val="20"/>
          <w:lang w:val="en-GB"/>
        </w:rPr>
        <w:t xml:space="preserve"> Group (the full transaction is not included in this table as it is a majority shareholder further acquisit</w:t>
      </w:r>
      <w:r w:rsidR="00EC7476">
        <w:rPr>
          <w:rFonts w:cs="Arial"/>
          <w:i/>
          <w:color w:val="000000"/>
          <w:szCs w:val="20"/>
          <w:lang w:val="en-GB"/>
        </w:rPr>
        <w:t>i</w:t>
      </w:r>
      <w:r w:rsidR="00F66995" w:rsidRPr="00AF1E17">
        <w:rPr>
          <w:rFonts w:cs="Arial"/>
          <w:i/>
          <w:color w:val="000000"/>
          <w:szCs w:val="20"/>
          <w:lang w:val="en-GB"/>
        </w:rPr>
        <w:t>on of interest, and thus fails to meet one of the inclusion criteria</w:t>
      </w:r>
      <w:r w:rsidRPr="00AF1E17">
        <w:rPr>
          <w:rFonts w:cs="Arial"/>
          <w:i/>
          <w:color w:val="000000"/>
          <w:szCs w:val="20"/>
          <w:lang w:val="en-GB"/>
        </w:rPr>
        <w:t>)</w:t>
      </w:r>
    </w:p>
    <w:p w:rsidR="002A3EB5" w:rsidRPr="00E92474" w:rsidRDefault="002A3EB5" w:rsidP="00E92474">
      <w:pPr>
        <w:autoSpaceDE w:val="0"/>
        <w:autoSpaceDN w:val="0"/>
        <w:adjustRightInd w:val="0"/>
        <w:rPr>
          <w:rFonts w:cs="Arial"/>
          <w:i/>
          <w:color w:val="000000"/>
          <w:szCs w:val="20"/>
          <w:lang w:val="en-GB"/>
        </w:rPr>
      </w:pPr>
    </w:p>
    <w:p w:rsidR="002B5B60" w:rsidRPr="00AF1E17" w:rsidRDefault="00F66995" w:rsidP="002B5B60">
      <w:pPr>
        <w:spacing w:line="360" w:lineRule="auto"/>
        <w:rPr>
          <w:rFonts w:cs="Arial"/>
          <w:b/>
          <w:color w:val="000000"/>
          <w:sz w:val="22"/>
          <w:szCs w:val="22"/>
          <w:lang w:val="en-GB"/>
        </w:rPr>
      </w:pPr>
      <w:r w:rsidRPr="00AF1E17">
        <w:rPr>
          <w:rFonts w:cs="Arial"/>
          <w:b/>
          <w:color w:val="000000"/>
          <w:sz w:val="22"/>
          <w:szCs w:val="22"/>
          <w:lang w:val="en-GB"/>
        </w:rPr>
        <w:t>Mergers and acquisitions in the Central and South Eastern European countries</w:t>
      </w:r>
    </w:p>
    <w:p w:rsidR="002B5B60" w:rsidRPr="00AF1E17" w:rsidRDefault="00F66995" w:rsidP="002B5B60">
      <w:pPr>
        <w:spacing w:line="360" w:lineRule="auto"/>
        <w:rPr>
          <w:rFonts w:cs="Arial"/>
          <w:color w:val="000000"/>
          <w:sz w:val="22"/>
          <w:szCs w:val="22"/>
          <w:lang w:val="en-GB"/>
        </w:rPr>
      </w:pPr>
      <w:r w:rsidRPr="00AF1E17">
        <w:rPr>
          <w:rFonts w:cs="Arial"/>
          <w:color w:val="000000"/>
          <w:sz w:val="22"/>
          <w:szCs w:val="22"/>
          <w:lang w:val="en-GB"/>
        </w:rPr>
        <w:t>The M&amp;A market in the CSE region (Bulgaria, Czech Republic, Croatia, Greece, Hungary, Poland, Romania, Serbia, Slovakia, Slovenia and Turkey</w:t>
      </w:r>
      <w:r w:rsidR="002B5B60" w:rsidRPr="00AF1E17">
        <w:rPr>
          <w:rFonts w:cs="Arial"/>
          <w:color w:val="000000"/>
          <w:sz w:val="22"/>
          <w:szCs w:val="22"/>
          <w:lang w:val="en-GB"/>
        </w:rPr>
        <w:t xml:space="preserve">) </w:t>
      </w:r>
      <w:r w:rsidRPr="00AF1E17">
        <w:rPr>
          <w:rFonts w:cs="Arial"/>
          <w:color w:val="000000"/>
          <w:sz w:val="22"/>
          <w:szCs w:val="22"/>
          <w:lang w:val="en-GB"/>
        </w:rPr>
        <w:t xml:space="preserve">has grown, as a whole, by </w:t>
      </w:r>
      <w:r w:rsidR="002B5B60" w:rsidRPr="00AF1E17">
        <w:rPr>
          <w:rFonts w:cs="Arial"/>
          <w:color w:val="000000"/>
          <w:sz w:val="22"/>
          <w:szCs w:val="22"/>
          <w:lang w:val="en-GB"/>
        </w:rPr>
        <w:t>20</w:t>
      </w:r>
      <w:r w:rsidRPr="00AF1E17">
        <w:rPr>
          <w:rFonts w:cs="Arial"/>
          <w:color w:val="000000"/>
          <w:sz w:val="22"/>
          <w:szCs w:val="22"/>
          <w:lang w:val="en-GB"/>
        </w:rPr>
        <w:t>.</w:t>
      </w:r>
      <w:r w:rsidR="002B5B60" w:rsidRPr="00AF1E17">
        <w:rPr>
          <w:rFonts w:cs="Arial"/>
          <w:color w:val="000000"/>
          <w:sz w:val="22"/>
          <w:szCs w:val="22"/>
          <w:lang w:val="en-GB"/>
        </w:rPr>
        <w:t xml:space="preserve">7%. </w:t>
      </w:r>
      <w:r w:rsidRPr="00AF1E17">
        <w:rPr>
          <w:rFonts w:cs="Arial"/>
          <w:color w:val="000000"/>
          <w:sz w:val="22"/>
          <w:szCs w:val="22"/>
          <w:lang w:val="en-GB"/>
        </w:rPr>
        <w:t>The number of transactions in the region has increased in H1</w:t>
      </w:r>
      <w:r w:rsidR="002B5B60" w:rsidRPr="00AF1E17">
        <w:rPr>
          <w:rFonts w:cs="Arial"/>
          <w:color w:val="000000"/>
          <w:sz w:val="22"/>
          <w:szCs w:val="22"/>
          <w:lang w:val="en-GB"/>
        </w:rPr>
        <w:t xml:space="preserve"> 2013 </w:t>
      </w:r>
      <w:r w:rsidRPr="00AF1E17">
        <w:rPr>
          <w:rFonts w:cs="Arial"/>
          <w:color w:val="000000"/>
          <w:sz w:val="22"/>
          <w:szCs w:val="22"/>
          <w:lang w:val="en-GB"/>
        </w:rPr>
        <w:t xml:space="preserve">to </w:t>
      </w:r>
      <w:r w:rsidR="002B5B60" w:rsidRPr="00AF1E17">
        <w:rPr>
          <w:rFonts w:cs="Arial"/>
          <w:color w:val="000000"/>
          <w:sz w:val="22"/>
          <w:szCs w:val="22"/>
          <w:lang w:val="en-GB"/>
        </w:rPr>
        <w:t xml:space="preserve">659 </w:t>
      </w:r>
      <w:r w:rsidRPr="00AF1E17">
        <w:rPr>
          <w:rFonts w:cs="Arial"/>
          <w:color w:val="000000"/>
          <w:sz w:val="22"/>
          <w:szCs w:val="22"/>
          <w:lang w:val="en-GB"/>
        </w:rPr>
        <w:t xml:space="preserve">transactions </w:t>
      </w:r>
      <w:r w:rsidR="002B5B60" w:rsidRPr="00AF1E17">
        <w:rPr>
          <w:rFonts w:cs="Arial"/>
          <w:color w:val="000000"/>
          <w:sz w:val="22"/>
          <w:szCs w:val="22"/>
          <w:lang w:val="en-GB"/>
        </w:rPr>
        <w:t>(</w:t>
      </w:r>
      <w:r w:rsidRPr="00AF1E17">
        <w:rPr>
          <w:rFonts w:cs="Arial"/>
          <w:color w:val="000000"/>
          <w:sz w:val="22"/>
          <w:szCs w:val="22"/>
          <w:lang w:val="en-GB"/>
        </w:rPr>
        <w:t xml:space="preserve">from </w:t>
      </w:r>
      <w:r w:rsidR="002B5B60" w:rsidRPr="00AF1E17">
        <w:rPr>
          <w:rFonts w:cs="Arial"/>
          <w:color w:val="000000"/>
          <w:sz w:val="22"/>
          <w:szCs w:val="22"/>
          <w:lang w:val="en-GB"/>
        </w:rPr>
        <w:t xml:space="preserve">546 </w:t>
      </w:r>
      <w:r w:rsidR="0085110C" w:rsidRPr="00AF1E17">
        <w:rPr>
          <w:rFonts w:cs="Arial"/>
          <w:color w:val="000000"/>
          <w:sz w:val="22"/>
          <w:szCs w:val="22"/>
          <w:lang w:val="en-GB"/>
        </w:rPr>
        <w:t xml:space="preserve">transactions in H1 </w:t>
      </w:r>
      <w:r w:rsidR="002B5B60" w:rsidRPr="00AF1E17">
        <w:rPr>
          <w:rFonts w:cs="Arial"/>
          <w:color w:val="000000"/>
          <w:sz w:val="22"/>
          <w:szCs w:val="22"/>
          <w:lang w:val="en-GB"/>
        </w:rPr>
        <w:t xml:space="preserve">2012). </w:t>
      </w:r>
      <w:r w:rsidR="0085110C" w:rsidRPr="00AF1E17">
        <w:rPr>
          <w:rFonts w:cs="Arial"/>
          <w:color w:val="000000"/>
          <w:sz w:val="22"/>
          <w:szCs w:val="22"/>
          <w:lang w:val="en-GB"/>
        </w:rPr>
        <w:t xml:space="preserve">The most transactions were closed in Turkey </w:t>
      </w:r>
      <w:r w:rsidR="002B5B60" w:rsidRPr="00AF1E17">
        <w:rPr>
          <w:rFonts w:cs="Arial"/>
          <w:color w:val="000000"/>
          <w:sz w:val="22"/>
          <w:szCs w:val="22"/>
          <w:lang w:val="en-GB"/>
        </w:rPr>
        <w:t xml:space="preserve">(138), </w:t>
      </w:r>
      <w:r w:rsidR="0085110C" w:rsidRPr="00AF1E17">
        <w:rPr>
          <w:rFonts w:cs="Arial"/>
          <w:color w:val="000000"/>
          <w:sz w:val="22"/>
          <w:szCs w:val="22"/>
          <w:lang w:val="en-GB"/>
        </w:rPr>
        <w:t xml:space="preserve">followed by Bulgaria </w:t>
      </w:r>
      <w:r w:rsidR="002B5B60" w:rsidRPr="00AF1E17">
        <w:rPr>
          <w:rFonts w:cs="Arial"/>
          <w:color w:val="000000"/>
          <w:sz w:val="22"/>
          <w:szCs w:val="22"/>
          <w:lang w:val="en-GB"/>
        </w:rPr>
        <w:t>(109) a</w:t>
      </w:r>
      <w:r w:rsidR="0085110C" w:rsidRPr="00AF1E17">
        <w:rPr>
          <w:rFonts w:cs="Arial"/>
          <w:color w:val="000000"/>
          <w:sz w:val="22"/>
          <w:szCs w:val="22"/>
          <w:lang w:val="en-GB"/>
        </w:rPr>
        <w:t>nd Poland</w:t>
      </w:r>
      <w:r w:rsidR="002B5B60" w:rsidRPr="00AF1E17">
        <w:rPr>
          <w:rFonts w:cs="Arial"/>
          <w:color w:val="000000"/>
          <w:sz w:val="22"/>
          <w:szCs w:val="22"/>
          <w:lang w:val="en-GB"/>
        </w:rPr>
        <w:t xml:space="preserve"> (104). </w:t>
      </w:r>
      <w:r w:rsidR="0085110C" w:rsidRPr="00AF1E17">
        <w:rPr>
          <w:rFonts w:cs="Arial"/>
          <w:color w:val="000000"/>
          <w:sz w:val="22"/>
          <w:szCs w:val="22"/>
          <w:lang w:val="en-GB"/>
        </w:rPr>
        <w:t xml:space="preserve">Only three of all </w:t>
      </w:r>
      <w:r w:rsidR="002B5B60" w:rsidRPr="00AF1E17">
        <w:rPr>
          <w:rFonts w:cs="Arial"/>
          <w:color w:val="000000"/>
          <w:sz w:val="22"/>
          <w:szCs w:val="22"/>
          <w:lang w:val="en-GB"/>
        </w:rPr>
        <w:t xml:space="preserve">11 </w:t>
      </w:r>
      <w:r w:rsidR="0085110C" w:rsidRPr="00AF1E17">
        <w:rPr>
          <w:rFonts w:cs="Arial"/>
          <w:color w:val="000000"/>
          <w:sz w:val="22"/>
          <w:szCs w:val="22"/>
          <w:lang w:val="en-GB"/>
        </w:rPr>
        <w:t xml:space="preserve">countries have reported a fall </w:t>
      </w:r>
      <w:r w:rsidR="002A3EB5">
        <w:rPr>
          <w:rFonts w:cs="Arial"/>
          <w:color w:val="000000"/>
          <w:sz w:val="22"/>
          <w:szCs w:val="22"/>
          <w:lang w:val="en-GB"/>
        </w:rPr>
        <w:t>in</w:t>
      </w:r>
      <w:r w:rsidR="0085110C" w:rsidRPr="00AF1E17">
        <w:rPr>
          <w:rFonts w:cs="Arial"/>
          <w:color w:val="000000"/>
          <w:sz w:val="22"/>
          <w:szCs w:val="22"/>
          <w:lang w:val="en-GB"/>
        </w:rPr>
        <w:t xml:space="preserve"> the number of completed transactions </w:t>
      </w:r>
      <w:r w:rsidR="002B5B60" w:rsidRPr="00AF1E17">
        <w:rPr>
          <w:rFonts w:cs="Arial"/>
          <w:color w:val="000000"/>
          <w:sz w:val="22"/>
          <w:szCs w:val="22"/>
          <w:lang w:val="en-GB"/>
        </w:rPr>
        <w:t xml:space="preserve">– </w:t>
      </w:r>
      <w:r w:rsidR="0085110C" w:rsidRPr="00AF1E17">
        <w:rPr>
          <w:rFonts w:cs="Arial"/>
          <w:color w:val="000000"/>
          <w:sz w:val="22"/>
          <w:szCs w:val="22"/>
          <w:lang w:val="en-GB"/>
        </w:rPr>
        <w:t>Greece, Poland and Slovenia</w:t>
      </w:r>
      <w:r w:rsidR="002B5B60" w:rsidRPr="00AF1E17">
        <w:rPr>
          <w:rFonts w:cs="Arial"/>
          <w:color w:val="000000"/>
          <w:sz w:val="22"/>
          <w:szCs w:val="22"/>
          <w:lang w:val="en-GB"/>
        </w:rPr>
        <w:t xml:space="preserve">. </w:t>
      </w:r>
      <w:r w:rsidR="0085110C" w:rsidRPr="00AF1E17">
        <w:rPr>
          <w:rFonts w:cs="Arial"/>
          <w:color w:val="000000"/>
          <w:sz w:val="22"/>
          <w:szCs w:val="22"/>
          <w:lang w:val="en-GB"/>
        </w:rPr>
        <w:t>Howe</w:t>
      </w:r>
      <w:r w:rsidR="00EC7476">
        <w:rPr>
          <w:rFonts w:cs="Arial"/>
          <w:color w:val="000000"/>
          <w:sz w:val="22"/>
          <w:szCs w:val="22"/>
          <w:lang w:val="en-GB"/>
        </w:rPr>
        <w:t>ver</w:t>
      </w:r>
      <w:r w:rsidR="0085110C" w:rsidRPr="00AF1E17">
        <w:rPr>
          <w:rFonts w:cs="Arial"/>
          <w:color w:val="000000"/>
          <w:sz w:val="22"/>
          <w:szCs w:val="22"/>
          <w:lang w:val="en-GB"/>
        </w:rPr>
        <w:t xml:space="preserve">, the transaction value fell by 41.8% compared to H1 </w:t>
      </w:r>
      <w:r w:rsidR="002B5B60" w:rsidRPr="00AF1E17">
        <w:rPr>
          <w:rFonts w:cs="Arial"/>
          <w:color w:val="000000"/>
          <w:sz w:val="22"/>
          <w:szCs w:val="22"/>
          <w:lang w:val="en-GB"/>
        </w:rPr>
        <w:t>201</w:t>
      </w:r>
      <w:r w:rsidR="0085110C" w:rsidRPr="00AF1E17">
        <w:rPr>
          <w:rFonts w:cs="Arial"/>
          <w:color w:val="000000"/>
          <w:sz w:val="22"/>
          <w:szCs w:val="22"/>
          <w:lang w:val="en-GB"/>
        </w:rPr>
        <w:t>2</w:t>
      </w:r>
      <w:r w:rsidR="002B5B60" w:rsidRPr="00AF1E17">
        <w:rPr>
          <w:rFonts w:cs="Arial"/>
          <w:color w:val="000000"/>
          <w:sz w:val="22"/>
          <w:szCs w:val="22"/>
          <w:lang w:val="en-GB"/>
        </w:rPr>
        <w:t>.</w:t>
      </w:r>
    </w:p>
    <w:p w:rsidR="002B5B60" w:rsidRPr="00AF1E17" w:rsidRDefault="002B5B60" w:rsidP="002B5B60">
      <w:pPr>
        <w:spacing w:line="360" w:lineRule="auto"/>
        <w:rPr>
          <w:rFonts w:cs="Arial"/>
          <w:color w:val="000000"/>
          <w:sz w:val="22"/>
          <w:szCs w:val="22"/>
          <w:lang w:val="en-GB"/>
        </w:rPr>
      </w:pPr>
    </w:p>
    <w:p w:rsidR="002B5B60" w:rsidRPr="00AF1E17" w:rsidRDefault="0085110C" w:rsidP="002B5B60">
      <w:pPr>
        <w:spacing w:line="360" w:lineRule="auto"/>
        <w:rPr>
          <w:rFonts w:cs="Arial"/>
          <w:color w:val="000000"/>
          <w:sz w:val="22"/>
          <w:szCs w:val="22"/>
          <w:lang w:val="en-GB"/>
        </w:rPr>
      </w:pPr>
      <w:r w:rsidRPr="00AF1E17">
        <w:rPr>
          <w:rFonts w:cs="Arial"/>
          <w:color w:val="000000"/>
          <w:sz w:val="22"/>
          <w:szCs w:val="22"/>
          <w:lang w:val="en-GB"/>
        </w:rPr>
        <w:t xml:space="preserve">659 closed transactions were disclosed in the region in H1 </w:t>
      </w:r>
      <w:r w:rsidR="002B5B60" w:rsidRPr="00AF1E17">
        <w:rPr>
          <w:rFonts w:cs="Arial"/>
          <w:color w:val="000000"/>
          <w:sz w:val="22"/>
          <w:szCs w:val="22"/>
          <w:lang w:val="en-GB"/>
        </w:rPr>
        <w:t>2013</w:t>
      </w:r>
      <w:r w:rsidRPr="00AF1E17">
        <w:rPr>
          <w:rFonts w:cs="Arial"/>
          <w:color w:val="000000"/>
          <w:sz w:val="22"/>
          <w:szCs w:val="22"/>
          <w:lang w:val="en-GB"/>
        </w:rPr>
        <w:t xml:space="preserve">, with the estimated total volume of USD </w:t>
      </w:r>
      <w:r w:rsidR="002B5B60" w:rsidRPr="00AF1E17">
        <w:rPr>
          <w:rFonts w:cs="Arial"/>
          <w:color w:val="000000"/>
          <w:sz w:val="22"/>
          <w:szCs w:val="22"/>
          <w:lang w:val="en-GB"/>
        </w:rPr>
        <w:t>13</w:t>
      </w:r>
      <w:r w:rsidRPr="00AF1E17">
        <w:rPr>
          <w:rFonts w:cs="Arial"/>
          <w:color w:val="000000"/>
          <w:sz w:val="22"/>
          <w:szCs w:val="22"/>
          <w:lang w:val="en-GB"/>
        </w:rPr>
        <w:t>.</w:t>
      </w:r>
      <w:r w:rsidR="002B5B60" w:rsidRPr="00AF1E17">
        <w:rPr>
          <w:rFonts w:cs="Arial"/>
          <w:color w:val="000000"/>
          <w:sz w:val="22"/>
          <w:szCs w:val="22"/>
          <w:lang w:val="en-GB"/>
        </w:rPr>
        <w:t xml:space="preserve">11 </w:t>
      </w:r>
      <w:r w:rsidRPr="00AF1E17">
        <w:rPr>
          <w:rFonts w:cs="Arial"/>
          <w:color w:val="000000"/>
          <w:sz w:val="22"/>
          <w:szCs w:val="22"/>
          <w:lang w:val="en-GB"/>
        </w:rPr>
        <w:t>bn</w:t>
      </w:r>
      <w:r w:rsidR="002B5B60" w:rsidRPr="00AF1E17">
        <w:rPr>
          <w:rFonts w:cs="Arial"/>
          <w:color w:val="000000"/>
          <w:sz w:val="22"/>
          <w:szCs w:val="22"/>
          <w:lang w:val="en-GB"/>
        </w:rPr>
        <w:t xml:space="preserve">. </w:t>
      </w:r>
      <w:r w:rsidRPr="00AF1E17">
        <w:rPr>
          <w:rFonts w:cs="Arial"/>
          <w:color w:val="000000"/>
          <w:sz w:val="22"/>
          <w:szCs w:val="22"/>
          <w:lang w:val="en-GB"/>
        </w:rPr>
        <w:t xml:space="preserve">In terms of the number of transactions, the most attractive sectors were the manufacturing sector </w:t>
      </w:r>
      <w:r w:rsidR="002B5B60" w:rsidRPr="00AF1E17">
        <w:rPr>
          <w:rFonts w:cs="Arial"/>
          <w:color w:val="000000"/>
          <w:sz w:val="22"/>
          <w:szCs w:val="22"/>
          <w:lang w:val="en-GB"/>
        </w:rPr>
        <w:t xml:space="preserve">(97 </w:t>
      </w:r>
      <w:r w:rsidRPr="00AF1E17">
        <w:rPr>
          <w:rFonts w:cs="Arial"/>
          <w:color w:val="000000"/>
          <w:sz w:val="22"/>
          <w:szCs w:val="22"/>
          <w:lang w:val="en-GB"/>
        </w:rPr>
        <w:t>deals</w:t>
      </w:r>
      <w:r w:rsidR="002B5B60" w:rsidRPr="00AF1E17">
        <w:rPr>
          <w:rFonts w:cs="Arial"/>
          <w:color w:val="000000"/>
          <w:sz w:val="22"/>
          <w:szCs w:val="22"/>
          <w:lang w:val="en-GB"/>
        </w:rPr>
        <w:t xml:space="preserve">), </w:t>
      </w:r>
      <w:r w:rsidRPr="00AF1E17">
        <w:rPr>
          <w:rFonts w:cs="Arial"/>
          <w:color w:val="000000"/>
          <w:sz w:val="22"/>
          <w:szCs w:val="22"/>
          <w:lang w:val="en-GB"/>
        </w:rPr>
        <w:t xml:space="preserve">retail </w:t>
      </w:r>
      <w:r w:rsidR="002B5B60" w:rsidRPr="00AF1E17">
        <w:rPr>
          <w:rFonts w:cs="Arial"/>
          <w:color w:val="000000"/>
          <w:sz w:val="22"/>
          <w:szCs w:val="22"/>
          <w:lang w:val="en-GB"/>
        </w:rPr>
        <w:t xml:space="preserve">&amp; </w:t>
      </w:r>
      <w:r w:rsidRPr="00AF1E17">
        <w:rPr>
          <w:rFonts w:cs="Arial"/>
          <w:color w:val="000000"/>
          <w:sz w:val="22"/>
          <w:szCs w:val="22"/>
          <w:lang w:val="en-GB"/>
        </w:rPr>
        <w:t>wholesale</w:t>
      </w:r>
      <w:r w:rsidR="002B5B60" w:rsidRPr="00AF1E17">
        <w:rPr>
          <w:rFonts w:cs="Arial"/>
          <w:color w:val="000000"/>
          <w:sz w:val="22"/>
          <w:szCs w:val="22"/>
          <w:lang w:val="en-GB"/>
        </w:rPr>
        <w:t xml:space="preserve"> (62 </w:t>
      </w:r>
      <w:r w:rsidRPr="00AF1E17">
        <w:rPr>
          <w:rFonts w:cs="Arial"/>
          <w:color w:val="000000"/>
          <w:sz w:val="22"/>
          <w:szCs w:val="22"/>
          <w:lang w:val="en-GB"/>
        </w:rPr>
        <w:t>deals</w:t>
      </w:r>
      <w:r w:rsidR="002B5B60" w:rsidRPr="00AF1E17">
        <w:rPr>
          <w:rFonts w:cs="Arial"/>
          <w:color w:val="000000"/>
          <w:sz w:val="22"/>
          <w:szCs w:val="22"/>
          <w:lang w:val="en-GB"/>
        </w:rPr>
        <w:t>) a</w:t>
      </w:r>
      <w:r w:rsidRPr="00AF1E17">
        <w:rPr>
          <w:rFonts w:cs="Arial"/>
          <w:color w:val="000000"/>
          <w:sz w:val="22"/>
          <w:szCs w:val="22"/>
          <w:lang w:val="en-GB"/>
        </w:rPr>
        <w:t>nd</w:t>
      </w:r>
      <w:r w:rsidR="002B5B60" w:rsidRPr="00AF1E17">
        <w:rPr>
          <w:rFonts w:cs="Arial"/>
          <w:color w:val="000000"/>
          <w:sz w:val="22"/>
          <w:szCs w:val="22"/>
          <w:lang w:val="en-GB"/>
        </w:rPr>
        <w:t xml:space="preserve"> IT (62 </w:t>
      </w:r>
      <w:r w:rsidRPr="00AF1E17">
        <w:rPr>
          <w:rFonts w:cs="Arial"/>
          <w:color w:val="000000"/>
          <w:sz w:val="22"/>
          <w:szCs w:val="22"/>
          <w:lang w:val="en-GB"/>
        </w:rPr>
        <w:t>deals</w:t>
      </w:r>
      <w:r w:rsidR="002B5B60" w:rsidRPr="00AF1E17">
        <w:rPr>
          <w:rFonts w:cs="Arial"/>
          <w:color w:val="000000"/>
          <w:sz w:val="22"/>
          <w:szCs w:val="22"/>
          <w:lang w:val="en-GB"/>
        </w:rPr>
        <w:t xml:space="preserve">). </w:t>
      </w:r>
      <w:r w:rsidRPr="00AF1E17">
        <w:rPr>
          <w:rFonts w:cs="Arial"/>
          <w:color w:val="000000"/>
          <w:sz w:val="22"/>
          <w:szCs w:val="22"/>
          <w:lang w:val="en-GB"/>
        </w:rPr>
        <w:t>In terms of value of the closed transactions, the most attractive sectors were banking and financial services</w:t>
      </w:r>
      <w:r w:rsidR="002B5B60" w:rsidRPr="00AF1E17">
        <w:rPr>
          <w:rFonts w:cs="Arial"/>
          <w:color w:val="000000"/>
          <w:sz w:val="22"/>
          <w:szCs w:val="22"/>
          <w:lang w:val="en-GB"/>
        </w:rPr>
        <w:t xml:space="preserve">, </w:t>
      </w:r>
      <w:r w:rsidRPr="00AF1E17">
        <w:rPr>
          <w:rFonts w:cs="Arial"/>
          <w:color w:val="000000"/>
          <w:sz w:val="22"/>
          <w:szCs w:val="22"/>
          <w:lang w:val="en-GB"/>
        </w:rPr>
        <w:t>wholesale</w:t>
      </w:r>
      <w:r w:rsidR="002B5B60" w:rsidRPr="00AF1E17">
        <w:rPr>
          <w:rFonts w:cs="Arial"/>
          <w:color w:val="000000"/>
          <w:sz w:val="22"/>
          <w:szCs w:val="22"/>
          <w:lang w:val="en-GB"/>
        </w:rPr>
        <w:t xml:space="preserve"> &amp; </w:t>
      </w:r>
      <w:r w:rsidRPr="00AF1E17">
        <w:rPr>
          <w:rFonts w:cs="Arial"/>
          <w:color w:val="000000"/>
          <w:sz w:val="22"/>
          <w:szCs w:val="22"/>
          <w:lang w:val="en-GB"/>
        </w:rPr>
        <w:t>retail and chemical industry</w:t>
      </w:r>
      <w:r w:rsidR="002B5B60" w:rsidRPr="00AF1E17">
        <w:rPr>
          <w:rFonts w:cs="Arial"/>
          <w:color w:val="000000"/>
          <w:sz w:val="22"/>
          <w:szCs w:val="22"/>
          <w:lang w:val="en-GB"/>
        </w:rPr>
        <w:t xml:space="preserve">. </w:t>
      </w:r>
    </w:p>
    <w:p w:rsidR="002B5B60" w:rsidRPr="00AF1E17" w:rsidRDefault="002B5B60" w:rsidP="002B5B60">
      <w:pPr>
        <w:spacing w:line="360" w:lineRule="auto"/>
        <w:rPr>
          <w:rFonts w:cs="Arial"/>
          <w:color w:val="000000"/>
          <w:sz w:val="22"/>
          <w:szCs w:val="22"/>
          <w:lang w:val="en-GB"/>
        </w:rPr>
      </w:pPr>
    </w:p>
    <w:p w:rsidR="002B5B60" w:rsidRPr="00AF1E17" w:rsidRDefault="002B5B60" w:rsidP="002B5B60">
      <w:pPr>
        <w:spacing w:line="360" w:lineRule="auto"/>
        <w:rPr>
          <w:rFonts w:cs="Arial"/>
          <w:color w:val="000000"/>
          <w:sz w:val="22"/>
          <w:szCs w:val="22"/>
          <w:lang w:val="en-GB"/>
        </w:rPr>
      </w:pPr>
      <w:r w:rsidRPr="00AF1E17">
        <w:rPr>
          <w:rFonts w:cs="Arial"/>
          <w:color w:val="000000"/>
          <w:sz w:val="22"/>
          <w:szCs w:val="22"/>
          <w:lang w:val="en-GB"/>
        </w:rPr>
        <w:t>Dom</w:t>
      </w:r>
      <w:r w:rsidR="0085110C" w:rsidRPr="00AF1E17">
        <w:rPr>
          <w:rFonts w:cs="Arial"/>
          <w:color w:val="000000"/>
          <w:sz w:val="22"/>
          <w:szCs w:val="22"/>
          <w:lang w:val="en-GB"/>
        </w:rPr>
        <w:t>estic transactions were most popular in Croatia, Bulgaria, Poland, Hungary and Romania</w:t>
      </w:r>
      <w:r w:rsidRPr="00AF1E17">
        <w:rPr>
          <w:rFonts w:cs="Arial"/>
          <w:color w:val="000000"/>
          <w:sz w:val="22"/>
          <w:szCs w:val="22"/>
          <w:lang w:val="en-GB"/>
        </w:rPr>
        <w:t xml:space="preserve">. </w:t>
      </w:r>
      <w:r w:rsidR="0085110C" w:rsidRPr="00AF1E17">
        <w:rPr>
          <w:rFonts w:cs="Arial"/>
          <w:color w:val="000000"/>
          <w:sz w:val="22"/>
          <w:szCs w:val="22"/>
          <w:lang w:val="en-GB"/>
        </w:rPr>
        <w:t>On the other hand, the Czech Republic</w:t>
      </w:r>
      <w:r w:rsidR="006C7204">
        <w:rPr>
          <w:rFonts w:cs="Arial"/>
          <w:color w:val="000000"/>
          <w:sz w:val="22"/>
          <w:szCs w:val="22"/>
          <w:lang w:val="en-GB"/>
        </w:rPr>
        <w:t xml:space="preserve">’s investors executed </w:t>
      </w:r>
      <w:r w:rsidR="0085110C" w:rsidRPr="00AF1E17">
        <w:rPr>
          <w:rFonts w:cs="Arial"/>
          <w:color w:val="000000"/>
          <w:sz w:val="22"/>
          <w:szCs w:val="22"/>
          <w:lang w:val="en-GB"/>
        </w:rPr>
        <w:t xml:space="preserve">the most outbound transactions </w:t>
      </w:r>
      <w:r w:rsidRPr="00AF1E17">
        <w:rPr>
          <w:rFonts w:cs="Arial"/>
          <w:color w:val="000000"/>
          <w:sz w:val="22"/>
          <w:szCs w:val="22"/>
          <w:lang w:val="en-GB"/>
        </w:rPr>
        <w:t>(17)</w:t>
      </w:r>
      <w:r w:rsidR="0085110C" w:rsidRPr="00AF1E17">
        <w:rPr>
          <w:rFonts w:cs="Arial"/>
          <w:color w:val="000000"/>
          <w:sz w:val="22"/>
          <w:szCs w:val="22"/>
          <w:lang w:val="en-GB"/>
        </w:rPr>
        <w:t xml:space="preserve"> -</w:t>
      </w:r>
      <w:r w:rsidRPr="00AF1E17">
        <w:rPr>
          <w:rFonts w:cs="Arial"/>
          <w:color w:val="000000"/>
          <w:sz w:val="22"/>
          <w:szCs w:val="22"/>
          <w:lang w:val="en-GB"/>
        </w:rPr>
        <w:t xml:space="preserve"> </w:t>
      </w:r>
      <w:r w:rsidR="0085110C" w:rsidRPr="00AF1E17">
        <w:rPr>
          <w:rFonts w:cs="Arial"/>
          <w:color w:val="000000"/>
          <w:sz w:val="22"/>
          <w:szCs w:val="22"/>
          <w:lang w:val="en-GB"/>
        </w:rPr>
        <w:t xml:space="preserve">mainly targeted </w:t>
      </w:r>
      <w:r w:rsidR="006C7204">
        <w:rPr>
          <w:rFonts w:cs="Arial"/>
          <w:color w:val="000000"/>
          <w:sz w:val="22"/>
          <w:szCs w:val="22"/>
          <w:lang w:val="en-GB"/>
        </w:rPr>
        <w:t>at</w:t>
      </w:r>
      <w:r w:rsidR="0085110C" w:rsidRPr="00AF1E17">
        <w:rPr>
          <w:rFonts w:cs="Arial"/>
          <w:color w:val="000000"/>
          <w:sz w:val="22"/>
          <w:szCs w:val="22"/>
          <w:lang w:val="en-GB"/>
        </w:rPr>
        <w:t xml:space="preserve"> Slovakia</w:t>
      </w:r>
      <w:r w:rsidRPr="00AF1E17">
        <w:rPr>
          <w:rFonts w:cs="Arial"/>
          <w:color w:val="000000"/>
          <w:sz w:val="22"/>
          <w:szCs w:val="22"/>
          <w:lang w:val="en-GB"/>
        </w:rPr>
        <w:t xml:space="preserve"> (7 </w:t>
      </w:r>
      <w:r w:rsidR="0085110C" w:rsidRPr="00AF1E17">
        <w:rPr>
          <w:rFonts w:cs="Arial"/>
          <w:color w:val="000000"/>
          <w:sz w:val="22"/>
          <w:szCs w:val="22"/>
          <w:lang w:val="en-GB"/>
        </w:rPr>
        <w:t>deals</w:t>
      </w:r>
      <w:r w:rsidRPr="00AF1E17">
        <w:rPr>
          <w:rFonts w:cs="Arial"/>
          <w:color w:val="000000"/>
          <w:sz w:val="22"/>
          <w:szCs w:val="22"/>
          <w:lang w:val="en-GB"/>
        </w:rPr>
        <w:t>)</w:t>
      </w:r>
      <w:r w:rsidR="0085110C" w:rsidRPr="00AF1E17">
        <w:rPr>
          <w:rFonts w:cs="Arial"/>
          <w:color w:val="000000"/>
          <w:sz w:val="22"/>
          <w:szCs w:val="22"/>
          <w:lang w:val="en-GB"/>
        </w:rPr>
        <w:t xml:space="preserve"> – followed by Poland and Turkey (with 12 </w:t>
      </w:r>
      <w:r w:rsidR="006C7204">
        <w:rPr>
          <w:rFonts w:cs="Arial"/>
          <w:color w:val="000000"/>
          <w:sz w:val="22"/>
          <w:szCs w:val="22"/>
          <w:lang w:val="en-GB"/>
        </w:rPr>
        <w:t xml:space="preserve">outbound </w:t>
      </w:r>
      <w:r w:rsidR="0085110C" w:rsidRPr="00AF1E17">
        <w:rPr>
          <w:rFonts w:cs="Arial"/>
          <w:color w:val="000000"/>
          <w:sz w:val="22"/>
          <w:szCs w:val="22"/>
          <w:lang w:val="en-GB"/>
        </w:rPr>
        <w:t>deals each)</w:t>
      </w:r>
      <w:r w:rsidRPr="00AF1E17">
        <w:rPr>
          <w:rFonts w:cs="Arial"/>
          <w:color w:val="000000"/>
          <w:sz w:val="22"/>
          <w:szCs w:val="22"/>
          <w:lang w:val="en-GB"/>
        </w:rPr>
        <w:t xml:space="preserve">. </w:t>
      </w:r>
      <w:r w:rsidR="0085110C" w:rsidRPr="00AF1E17">
        <w:rPr>
          <w:rFonts w:cs="Arial"/>
          <w:color w:val="000000"/>
          <w:sz w:val="22"/>
          <w:szCs w:val="22"/>
          <w:lang w:val="en-GB"/>
        </w:rPr>
        <w:t xml:space="preserve">Transacting within the region, the most active were the Czech Republic </w:t>
      </w:r>
      <w:r w:rsidRPr="00AF1E17">
        <w:rPr>
          <w:rFonts w:cs="Arial"/>
          <w:color w:val="000000"/>
          <w:sz w:val="22"/>
          <w:szCs w:val="22"/>
          <w:lang w:val="en-GB"/>
        </w:rPr>
        <w:t>(12) a</w:t>
      </w:r>
      <w:r w:rsidR="0085110C" w:rsidRPr="00AF1E17">
        <w:rPr>
          <w:rFonts w:cs="Arial"/>
          <w:color w:val="000000"/>
          <w:sz w:val="22"/>
          <w:szCs w:val="22"/>
          <w:lang w:val="en-GB"/>
        </w:rPr>
        <w:t>nd Poland</w:t>
      </w:r>
      <w:r w:rsidRPr="00AF1E17">
        <w:rPr>
          <w:rFonts w:cs="Arial"/>
          <w:color w:val="000000"/>
          <w:sz w:val="22"/>
          <w:szCs w:val="22"/>
          <w:lang w:val="en-GB"/>
        </w:rPr>
        <w:t xml:space="preserve"> (11).</w:t>
      </w:r>
    </w:p>
    <w:p w:rsidR="002B5B60" w:rsidRPr="00AF1E17" w:rsidRDefault="002B5B60" w:rsidP="002B5B60">
      <w:pPr>
        <w:spacing w:line="360" w:lineRule="auto"/>
        <w:rPr>
          <w:rFonts w:cs="Arial"/>
          <w:color w:val="000000"/>
          <w:sz w:val="22"/>
          <w:szCs w:val="22"/>
          <w:lang w:val="en-GB"/>
        </w:rPr>
      </w:pPr>
    </w:p>
    <w:p w:rsidR="002B5B60" w:rsidRDefault="0085110C" w:rsidP="002B5B60">
      <w:pPr>
        <w:spacing w:line="360" w:lineRule="auto"/>
        <w:rPr>
          <w:rFonts w:cs="Arial"/>
          <w:color w:val="000000"/>
          <w:sz w:val="22"/>
          <w:szCs w:val="22"/>
          <w:lang w:val="en-GB"/>
        </w:rPr>
      </w:pPr>
      <w:r w:rsidRPr="00AF1E17">
        <w:rPr>
          <w:rFonts w:cs="Arial"/>
          <w:color w:val="000000"/>
          <w:sz w:val="22"/>
          <w:szCs w:val="22"/>
          <w:lang w:val="en-GB"/>
        </w:rPr>
        <w:t>It is interesting that only</w:t>
      </w:r>
      <w:r w:rsidR="002B5B60" w:rsidRPr="00AF1E17">
        <w:rPr>
          <w:rFonts w:cs="Arial"/>
          <w:color w:val="000000"/>
          <w:sz w:val="22"/>
          <w:szCs w:val="22"/>
          <w:lang w:val="en-GB"/>
        </w:rPr>
        <w:t xml:space="preserve"> 2</w:t>
      </w:r>
      <w:r w:rsidRPr="00AF1E17">
        <w:rPr>
          <w:rFonts w:cs="Arial"/>
          <w:color w:val="000000"/>
          <w:sz w:val="22"/>
          <w:szCs w:val="22"/>
          <w:lang w:val="en-GB"/>
        </w:rPr>
        <w:t>.</w:t>
      </w:r>
      <w:r w:rsidR="002B5B60" w:rsidRPr="00AF1E17">
        <w:rPr>
          <w:rFonts w:cs="Arial"/>
          <w:color w:val="000000"/>
          <w:sz w:val="22"/>
          <w:szCs w:val="22"/>
          <w:lang w:val="en-GB"/>
        </w:rPr>
        <w:t>6%</w:t>
      </w:r>
      <w:r w:rsidRPr="00AF1E17">
        <w:rPr>
          <w:rFonts w:cs="Arial"/>
          <w:color w:val="000000"/>
          <w:sz w:val="22"/>
          <w:szCs w:val="22"/>
          <w:lang w:val="en-GB"/>
        </w:rPr>
        <w:t xml:space="preserve"> of transactions exceeded the value of USD </w:t>
      </w:r>
      <w:r w:rsidR="002B5B60" w:rsidRPr="00AF1E17">
        <w:rPr>
          <w:rFonts w:cs="Arial"/>
          <w:color w:val="000000"/>
          <w:sz w:val="22"/>
          <w:szCs w:val="22"/>
          <w:lang w:val="en-GB"/>
        </w:rPr>
        <w:t xml:space="preserve">100 m. </w:t>
      </w:r>
      <w:r w:rsidRPr="00AF1E17">
        <w:rPr>
          <w:rFonts w:cs="Arial"/>
          <w:color w:val="000000"/>
          <w:sz w:val="22"/>
          <w:szCs w:val="22"/>
          <w:lang w:val="en-GB"/>
        </w:rPr>
        <w:t xml:space="preserve">The largest transaction with disclosed value in H1 </w:t>
      </w:r>
      <w:r w:rsidR="002B5B60" w:rsidRPr="00AF1E17">
        <w:rPr>
          <w:rFonts w:cs="Arial"/>
          <w:color w:val="000000"/>
          <w:sz w:val="22"/>
          <w:szCs w:val="22"/>
          <w:lang w:val="en-GB"/>
        </w:rPr>
        <w:t xml:space="preserve">2013 </w:t>
      </w:r>
      <w:r w:rsidRPr="00AF1E17">
        <w:rPr>
          <w:rFonts w:cs="Arial"/>
          <w:color w:val="000000"/>
          <w:sz w:val="22"/>
          <w:szCs w:val="22"/>
          <w:lang w:val="en-GB"/>
        </w:rPr>
        <w:t xml:space="preserve">was the acquisition of the Turkish </w:t>
      </w:r>
      <w:proofErr w:type="spellStart"/>
      <w:r w:rsidR="002B5B60" w:rsidRPr="00AF1E17">
        <w:rPr>
          <w:rFonts w:cs="Arial"/>
          <w:color w:val="000000"/>
          <w:sz w:val="22"/>
          <w:szCs w:val="22"/>
          <w:lang w:val="en-GB"/>
        </w:rPr>
        <w:t>Yapi</w:t>
      </w:r>
      <w:proofErr w:type="spellEnd"/>
      <w:r w:rsidR="002B5B60" w:rsidRPr="00AF1E17">
        <w:rPr>
          <w:rFonts w:cs="Arial"/>
          <w:color w:val="000000"/>
          <w:sz w:val="22"/>
          <w:szCs w:val="22"/>
          <w:lang w:val="en-GB"/>
        </w:rPr>
        <w:t xml:space="preserve"> </w:t>
      </w:r>
      <w:proofErr w:type="spellStart"/>
      <w:r w:rsidR="002B5B60" w:rsidRPr="00AF1E17">
        <w:rPr>
          <w:rFonts w:cs="Arial"/>
          <w:color w:val="000000"/>
          <w:sz w:val="22"/>
          <w:szCs w:val="22"/>
          <w:lang w:val="en-GB"/>
        </w:rPr>
        <w:t>Kredi</w:t>
      </w:r>
      <w:proofErr w:type="spellEnd"/>
      <w:r w:rsidR="002B5B60" w:rsidRPr="00AF1E17">
        <w:rPr>
          <w:rFonts w:cs="Arial"/>
          <w:color w:val="000000"/>
          <w:sz w:val="22"/>
          <w:szCs w:val="22"/>
          <w:lang w:val="en-GB"/>
        </w:rPr>
        <w:t xml:space="preserve"> </w:t>
      </w:r>
      <w:proofErr w:type="spellStart"/>
      <w:r w:rsidR="002B5B60" w:rsidRPr="00AF1E17">
        <w:rPr>
          <w:rFonts w:cs="Arial"/>
          <w:color w:val="000000"/>
          <w:sz w:val="22"/>
          <w:szCs w:val="22"/>
          <w:lang w:val="en-GB"/>
        </w:rPr>
        <w:t>Sigorta</w:t>
      </w:r>
      <w:proofErr w:type="spellEnd"/>
      <w:r w:rsidR="002B5B60" w:rsidRPr="00AF1E17">
        <w:rPr>
          <w:rFonts w:cs="Arial"/>
          <w:color w:val="000000"/>
          <w:sz w:val="22"/>
          <w:szCs w:val="22"/>
          <w:lang w:val="en-GB"/>
        </w:rPr>
        <w:t xml:space="preserve"> </w:t>
      </w:r>
      <w:r w:rsidRPr="00AF1E17">
        <w:rPr>
          <w:rFonts w:cs="Arial"/>
          <w:color w:val="000000"/>
          <w:sz w:val="22"/>
          <w:szCs w:val="22"/>
          <w:lang w:val="en-GB"/>
        </w:rPr>
        <w:t xml:space="preserve">by the German </w:t>
      </w:r>
      <w:r w:rsidR="002B5B60" w:rsidRPr="00AF1E17">
        <w:rPr>
          <w:rFonts w:cs="Arial"/>
          <w:color w:val="000000"/>
          <w:sz w:val="22"/>
          <w:szCs w:val="22"/>
          <w:lang w:val="en-GB"/>
        </w:rPr>
        <w:t xml:space="preserve">Allianz SE </w:t>
      </w:r>
      <w:r w:rsidRPr="00AF1E17">
        <w:rPr>
          <w:rFonts w:cs="Arial"/>
          <w:color w:val="000000"/>
          <w:sz w:val="22"/>
          <w:szCs w:val="22"/>
          <w:lang w:val="en-GB"/>
        </w:rPr>
        <w:t xml:space="preserve">for more than USD </w:t>
      </w:r>
      <w:r w:rsidR="002B5B60" w:rsidRPr="00AF1E17">
        <w:rPr>
          <w:rFonts w:cs="Arial"/>
          <w:color w:val="000000"/>
          <w:sz w:val="22"/>
          <w:szCs w:val="22"/>
          <w:lang w:val="en-GB"/>
        </w:rPr>
        <w:t xml:space="preserve">913 m. </w:t>
      </w:r>
    </w:p>
    <w:p w:rsidR="00E92474" w:rsidRPr="00AF1E17" w:rsidRDefault="00E92474" w:rsidP="002B5B60">
      <w:pPr>
        <w:spacing w:line="360" w:lineRule="auto"/>
        <w:rPr>
          <w:rFonts w:cs="Arial"/>
          <w:color w:val="000000"/>
          <w:sz w:val="22"/>
          <w:szCs w:val="22"/>
          <w:lang w:val="en-GB"/>
        </w:rPr>
      </w:pPr>
    </w:p>
    <w:p w:rsidR="002B5B60" w:rsidRPr="00AF1E17" w:rsidRDefault="002B5B60" w:rsidP="002B5B60">
      <w:pPr>
        <w:spacing w:line="360" w:lineRule="auto"/>
        <w:rPr>
          <w:rFonts w:cs="Arial"/>
          <w:b/>
          <w:color w:val="000000"/>
          <w:sz w:val="22"/>
          <w:szCs w:val="22"/>
          <w:lang w:val="en-GB"/>
        </w:rPr>
      </w:pPr>
      <w:r w:rsidRPr="00AF1E17">
        <w:rPr>
          <w:rFonts w:cs="Arial"/>
          <w:b/>
          <w:color w:val="000000"/>
          <w:sz w:val="22"/>
          <w:szCs w:val="22"/>
          <w:lang w:val="en-GB"/>
        </w:rPr>
        <w:t xml:space="preserve">Top 10 </w:t>
      </w:r>
      <w:r w:rsidR="0085110C" w:rsidRPr="00AF1E17">
        <w:rPr>
          <w:rFonts w:cs="Arial"/>
          <w:b/>
          <w:color w:val="000000"/>
          <w:sz w:val="22"/>
          <w:szCs w:val="22"/>
          <w:lang w:val="en-GB"/>
        </w:rPr>
        <w:t xml:space="preserve">largest transactions in the CSE region in H1 </w:t>
      </w:r>
      <w:r w:rsidRPr="00AF1E17">
        <w:rPr>
          <w:rFonts w:cs="Arial"/>
          <w:b/>
          <w:color w:val="000000"/>
          <w:sz w:val="22"/>
          <w:szCs w:val="22"/>
          <w:lang w:val="en-GB"/>
        </w:rPr>
        <w:t>2013</w:t>
      </w:r>
    </w:p>
    <w:tbl>
      <w:tblPr>
        <w:tblStyle w:val="TableGrid"/>
        <w:tblW w:w="0" w:type="auto"/>
        <w:tblLook w:val="04A0" w:firstRow="1" w:lastRow="0" w:firstColumn="1" w:lastColumn="0" w:noHBand="0" w:noVBand="1"/>
      </w:tblPr>
      <w:tblGrid>
        <w:gridCol w:w="1882"/>
        <w:gridCol w:w="1882"/>
        <w:gridCol w:w="1882"/>
        <w:gridCol w:w="1882"/>
        <w:gridCol w:w="1882"/>
      </w:tblGrid>
      <w:tr w:rsidR="002B5B60" w:rsidRPr="00AF1E17" w:rsidTr="0085110C">
        <w:tc>
          <w:tcPr>
            <w:tcW w:w="1882" w:type="dxa"/>
            <w:vAlign w:val="center"/>
          </w:tcPr>
          <w:p w:rsidR="002B5B60" w:rsidRPr="00AF1E17" w:rsidRDefault="0085110C" w:rsidP="0085110C">
            <w:pPr>
              <w:spacing w:line="360" w:lineRule="auto"/>
              <w:rPr>
                <w:rFonts w:cs="Arial"/>
                <w:b/>
                <w:color w:val="000000"/>
                <w:szCs w:val="22"/>
                <w:lang w:val="en-GB"/>
              </w:rPr>
            </w:pPr>
            <w:r w:rsidRPr="00AF1E17">
              <w:rPr>
                <w:rFonts w:cs="Arial"/>
                <w:b/>
                <w:color w:val="000000"/>
                <w:szCs w:val="22"/>
                <w:lang w:val="en-GB"/>
              </w:rPr>
              <w:t>Target company</w:t>
            </w:r>
          </w:p>
        </w:tc>
        <w:tc>
          <w:tcPr>
            <w:tcW w:w="1882" w:type="dxa"/>
            <w:vAlign w:val="center"/>
          </w:tcPr>
          <w:p w:rsidR="002B5B60" w:rsidRPr="00AF1E17" w:rsidRDefault="0085110C" w:rsidP="0085110C">
            <w:pPr>
              <w:spacing w:line="360" w:lineRule="auto"/>
              <w:rPr>
                <w:rFonts w:cs="Arial"/>
                <w:b/>
                <w:color w:val="000000"/>
                <w:szCs w:val="22"/>
                <w:lang w:val="en-GB"/>
              </w:rPr>
            </w:pPr>
            <w:r w:rsidRPr="00AF1E17">
              <w:rPr>
                <w:rFonts w:cs="Arial"/>
                <w:b/>
                <w:color w:val="000000"/>
                <w:szCs w:val="22"/>
                <w:lang w:val="en-GB"/>
              </w:rPr>
              <w:t>Country of target</w:t>
            </w:r>
          </w:p>
        </w:tc>
        <w:tc>
          <w:tcPr>
            <w:tcW w:w="1882" w:type="dxa"/>
            <w:vAlign w:val="center"/>
          </w:tcPr>
          <w:p w:rsidR="002B5B60" w:rsidRPr="00AF1E17" w:rsidRDefault="0085110C" w:rsidP="0085110C">
            <w:pPr>
              <w:spacing w:line="360" w:lineRule="auto"/>
              <w:rPr>
                <w:rFonts w:cs="Arial"/>
                <w:b/>
                <w:color w:val="000000"/>
                <w:szCs w:val="22"/>
                <w:lang w:val="en-GB"/>
              </w:rPr>
            </w:pPr>
            <w:r w:rsidRPr="00AF1E17">
              <w:rPr>
                <w:rFonts w:cs="Arial"/>
                <w:b/>
                <w:color w:val="000000"/>
                <w:szCs w:val="22"/>
                <w:lang w:val="en-GB"/>
              </w:rPr>
              <w:t>Buyer</w:t>
            </w:r>
          </w:p>
        </w:tc>
        <w:tc>
          <w:tcPr>
            <w:tcW w:w="1882" w:type="dxa"/>
            <w:vAlign w:val="center"/>
          </w:tcPr>
          <w:p w:rsidR="002B5B60" w:rsidRPr="00AF1E17" w:rsidRDefault="0085110C" w:rsidP="0085110C">
            <w:pPr>
              <w:spacing w:line="360" w:lineRule="auto"/>
              <w:rPr>
                <w:rFonts w:cs="Arial"/>
                <w:b/>
                <w:color w:val="000000"/>
                <w:szCs w:val="22"/>
                <w:lang w:val="en-GB"/>
              </w:rPr>
            </w:pPr>
            <w:r w:rsidRPr="00AF1E17">
              <w:rPr>
                <w:rFonts w:cs="Arial"/>
                <w:b/>
                <w:color w:val="000000"/>
                <w:szCs w:val="22"/>
                <w:lang w:val="en-GB"/>
              </w:rPr>
              <w:t>Country of buyer</w:t>
            </w:r>
          </w:p>
        </w:tc>
        <w:tc>
          <w:tcPr>
            <w:tcW w:w="1882" w:type="dxa"/>
            <w:vAlign w:val="center"/>
          </w:tcPr>
          <w:p w:rsidR="002B5B60" w:rsidRPr="00AF1E17" w:rsidRDefault="00D96B99" w:rsidP="00D96B99">
            <w:pPr>
              <w:spacing w:line="360" w:lineRule="auto"/>
              <w:rPr>
                <w:rFonts w:cs="Arial"/>
                <w:b/>
                <w:color w:val="000000"/>
                <w:szCs w:val="22"/>
                <w:lang w:val="en-GB"/>
              </w:rPr>
            </w:pPr>
            <w:r w:rsidRPr="00AF1E17">
              <w:rPr>
                <w:rFonts w:cs="Arial"/>
                <w:b/>
                <w:color w:val="000000"/>
                <w:szCs w:val="22"/>
                <w:lang w:val="en-GB"/>
              </w:rPr>
              <w:t>Deal value (USD m)</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Yapi</w:t>
            </w:r>
            <w:proofErr w:type="spellEnd"/>
            <w:r w:rsidRPr="00AF1E17">
              <w:rPr>
                <w:rFonts w:cs="Arial"/>
                <w:color w:val="000000"/>
                <w:szCs w:val="22"/>
                <w:lang w:val="en-GB"/>
              </w:rPr>
              <w:t xml:space="preserve"> </w:t>
            </w:r>
            <w:proofErr w:type="spellStart"/>
            <w:r w:rsidRPr="00AF1E17">
              <w:rPr>
                <w:rFonts w:cs="Arial"/>
                <w:color w:val="000000"/>
                <w:szCs w:val="22"/>
                <w:lang w:val="en-GB"/>
              </w:rPr>
              <w:t>Kredi</w:t>
            </w:r>
            <w:proofErr w:type="spellEnd"/>
            <w:r w:rsidRPr="00AF1E17">
              <w:rPr>
                <w:rFonts w:cs="Arial"/>
                <w:color w:val="000000"/>
                <w:szCs w:val="22"/>
                <w:lang w:val="en-GB"/>
              </w:rPr>
              <w:t xml:space="preserve"> </w:t>
            </w:r>
            <w:proofErr w:type="spellStart"/>
            <w:r w:rsidRPr="00AF1E17">
              <w:rPr>
                <w:rFonts w:cs="Arial"/>
                <w:color w:val="000000"/>
                <w:szCs w:val="22"/>
                <w:lang w:val="en-GB"/>
              </w:rPr>
              <w:t>Sigorta</w:t>
            </w:r>
            <w:proofErr w:type="spellEnd"/>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Tur</w:t>
            </w:r>
            <w:r w:rsidR="00D96B99" w:rsidRPr="00AF1E17">
              <w:rPr>
                <w:rFonts w:cs="Arial"/>
                <w:color w:val="000000"/>
                <w:szCs w:val="22"/>
                <w:lang w:val="en-GB"/>
              </w:rPr>
              <w:t>key</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Allianz SE</w:t>
            </w:r>
          </w:p>
        </w:tc>
        <w:tc>
          <w:tcPr>
            <w:tcW w:w="1882" w:type="dxa"/>
          </w:tcPr>
          <w:p w:rsidR="002B5B60" w:rsidRPr="00AF1E17" w:rsidRDefault="00D96B99" w:rsidP="00D96B99">
            <w:pPr>
              <w:spacing w:line="360" w:lineRule="auto"/>
              <w:rPr>
                <w:rFonts w:cs="Arial"/>
                <w:color w:val="000000"/>
                <w:szCs w:val="22"/>
                <w:lang w:val="en-GB"/>
              </w:rPr>
            </w:pPr>
            <w:r w:rsidRPr="00AF1E17">
              <w:rPr>
                <w:rFonts w:cs="Arial"/>
                <w:color w:val="000000"/>
                <w:szCs w:val="22"/>
                <w:lang w:val="en-GB"/>
              </w:rPr>
              <w:t xml:space="preserve">Germany </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913</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Follie</w:t>
            </w:r>
            <w:proofErr w:type="spellEnd"/>
            <w:r w:rsidRPr="00AF1E17">
              <w:rPr>
                <w:rFonts w:cs="Arial"/>
                <w:color w:val="000000"/>
                <w:szCs w:val="22"/>
                <w:lang w:val="en-GB"/>
              </w:rPr>
              <w:t xml:space="preserve"> (travel retail business)</w:t>
            </w:r>
          </w:p>
        </w:tc>
        <w:tc>
          <w:tcPr>
            <w:tcW w:w="1882" w:type="dxa"/>
          </w:tcPr>
          <w:p w:rsidR="002B5B60" w:rsidRPr="00AF1E17" w:rsidRDefault="00D96B99" w:rsidP="00D96B99">
            <w:pPr>
              <w:spacing w:line="360" w:lineRule="auto"/>
              <w:rPr>
                <w:rFonts w:cs="Arial"/>
                <w:color w:val="000000"/>
                <w:szCs w:val="22"/>
                <w:lang w:val="en-GB"/>
              </w:rPr>
            </w:pPr>
            <w:r w:rsidRPr="00AF1E17">
              <w:rPr>
                <w:rFonts w:cs="Arial"/>
                <w:color w:val="000000"/>
                <w:szCs w:val="22"/>
                <w:lang w:val="en-GB"/>
              </w:rPr>
              <w:t>Greece</w:t>
            </w:r>
          </w:p>
        </w:tc>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Dufry</w:t>
            </w:r>
            <w:proofErr w:type="spellEnd"/>
            <w:r w:rsidRPr="00AF1E17">
              <w:rPr>
                <w:rFonts w:cs="Arial"/>
                <w:color w:val="000000"/>
                <w:szCs w:val="22"/>
                <w:lang w:val="en-GB"/>
              </w:rPr>
              <w:t xml:space="preserve"> AG</w:t>
            </w:r>
          </w:p>
        </w:tc>
        <w:tc>
          <w:tcPr>
            <w:tcW w:w="1882" w:type="dxa"/>
          </w:tcPr>
          <w:p w:rsidR="002B5B60" w:rsidRPr="00AF1E17" w:rsidRDefault="00D96B99" w:rsidP="00D96B99">
            <w:pPr>
              <w:spacing w:line="360" w:lineRule="auto"/>
              <w:rPr>
                <w:rFonts w:cs="Arial"/>
                <w:color w:val="000000"/>
                <w:szCs w:val="22"/>
                <w:lang w:val="en-GB"/>
              </w:rPr>
            </w:pPr>
            <w:r w:rsidRPr="00AF1E17">
              <w:rPr>
                <w:rFonts w:cs="Arial"/>
                <w:color w:val="000000"/>
                <w:szCs w:val="22"/>
                <w:lang w:val="en-GB"/>
              </w:rPr>
              <w:t>Switzerland</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703</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Zaklady</w:t>
            </w:r>
            <w:proofErr w:type="spellEnd"/>
            <w:r w:rsidRPr="00AF1E17">
              <w:rPr>
                <w:rFonts w:cs="Arial"/>
                <w:color w:val="000000"/>
                <w:szCs w:val="22"/>
                <w:lang w:val="en-GB"/>
              </w:rPr>
              <w:t xml:space="preserve"> </w:t>
            </w:r>
            <w:proofErr w:type="spellStart"/>
            <w:r w:rsidRPr="00AF1E17">
              <w:rPr>
                <w:rFonts w:cs="Arial"/>
                <w:color w:val="000000"/>
                <w:szCs w:val="22"/>
                <w:lang w:val="en-GB"/>
              </w:rPr>
              <w:t>Azotowe</w:t>
            </w:r>
            <w:proofErr w:type="spellEnd"/>
            <w:r w:rsidRPr="00AF1E17">
              <w:rPr>
                <w:rFonts w:cs="Arial"/>
                <w:color w:val="000000"/>
                <w:szCs w:val="22"/>
                <w:lang w:val="en-GB"/>
              </w:rPr>
              <w:t xml:space="preserve"> </w:t>
            </w:r>
            <w:proofErr w:type="spellStart"/>
            <w:r w:rsidRPr="00AF1E17">
              <w:rPr>
                <w:rFonts w:cs="Arial"/>
                <w:color w:val="000000"/>
                <w:szCs w:val="22"/>
                <w:lang w:val="en-GB"/>
              </w:rPr>
              <w:t>Pulawy</w:t>
            </w:r>
            <w:proofErr w:type="spellEnd"/>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Pol</w:t>
            </w:r>
            <w:r w:rsidR="00D96B99" w:rsidRPr="00AF1E17">
              <w:rPr>
                <w:rFonts w:cs="Arial"/>
                <w:color w:val="000000"/>
                <w:szCs w:val="22"/>
                <w:lang w:val="en-GB"/>
              </w:rPr>
              <w:t>and</w:t>
            </w:r>
          </w:p>
        </w:tc>
        <w:tc>
          <w:tcPr>
            <w:tcW w:w="1882" w:type="dxa"/>
          </w:tcPr>
          <w:p w:rsidR="002B5B60" w:rsidRPr="00EA1603" w:rsidRDefault="002B5B60" w:rsidP="00693FF3">
            <w:pPr>
              <w:spacing w:line="360" w:lineRule="auto"/>
              <w:rPr>
                <w:rFonts w:cs="Arial"/>
                <w:color w:val="000000"/>
                <w:szCs w:val="22"/>
                <w:lang w:val="pl-PL"/>
              </w:rPr>
            </w:pPr>
            <w:r w:rsidRPr="00EA1603">
              <w:rPr>
                <w:rFonts w:cs="Arial"/>
                <w:color w:val="000000"/>
                <w:szCs w:val="22"/>
                <w:lang w:val="pl-PL"/>
              </w:rPr>
              <w:t>Zaklady Azotowe w Tarnowie Moscicach</w:t>
            </w:r>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Pol</w:t>
            </w:r>
            <w:r w:rsidR="00D96B99" w:rsidRPr="00AF1E17">
              <w:rPr>
                <w:rFonts w:cs="Arial"/>
                <w:color w:val="000000"/>
                <w:szCs w:val="22"/>
                <w:lang w:val="en-GB"/>
              </w:rPr>
              <w:t>and</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594</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lastRenderedPageBreak/>
              <w:t>Středoslovenská</w:t>
            </w:r>
            <w:proofErr w:type="spellEnd"/>
            <w:r w:rsidRPr="00AF1E17">
              <w:rPr>
                <w:rFonts w:cs="Arial"/>
                <w:color w:val="000000"/>
                <w:szCs w:val="22"/>
                <w:lang w:val="en-GB"/>
              </w:rPr>
              <w:t xml:space="preserve"> </w:t>
            </w:r>
            <w:proofErr w:type="spellStart"/>
            <w:r w:rsidRPr="00AF1E17">
              <w:rPr>
                <w:rFonts w:cs="Arial"/>
                <w:color w:val="000000"/>
                <w:szCs w:val="22"/>
                <w:lang w:val="en-GB"/>
              </w:rPr>
              <w:t>energetika</w:t>
            </w:r>
            <w:proofErr w:type="spellEnd"/>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Slov</w:t>
            </w:r>
            <w:r w:rsidR="00D96B99" w:rsidRPr="00AF1E17">
              <w:rPr>
                <w:rFonts w:cs="Arial"/>
                <w:color w:val="000000"/>
                <w:szCs w:val="22"/>
                <w:lang w:val="en-GB"/>
              </w:rPr>
              <w:t>akia</w:t>
            </w:r>
          </w:p>
        </w:tc>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Energetický</w:t>
            </w:r>
            <w:proofErr w:type="spellEnd"/>
            <w:r w:rsidRPr="00AF1E17">
              <w:rPr>
                <w:rFonts w:cs="Arial"/>
                <w:color w:val="000000"/>
                <w:szCs w:val="22"/>
                <w:lang w:val="en-GB"/>
              </w:rPr>
              <w:t xml:space="preserve"> a </w:t>
            </w:r>
            <w:proofErr w:type="spellStart"/>
            <w:r w:rsidRPr="00AF1E17">
              <w:rPr>
                <w:rFonts w:cs="Arial"/>
                <w:color w:val="000000"/>
                <w:szCs w:val="22"/>
                <w:lang w:val="en-GB"/>
              </w:rPr>
              <w:t>Průmyslový</w:t>
            </w:r>
            <w:proofErr w:type="spellEnd"/>
            <w:r w:rsidRPr="00AF1E17">
              <w:rPr>
                <w:rFonts w:cs="Arial"/>
                <w:color w:val="000000"/>
                <w:szCs w:val="22"/>
                <w:lang w:val="en-GB"/>
              </w:rPr>
              <w:t xml:space="preserve"> Holding </w:t>
            </w:r>
            <w:proofErr w:type="spellStart"/>
            <w:r w:rsidRPr="00AF1E17">
              <w:rPr>
                <w:rFonts w:cs="Arial"/>
                <w:color w:val="000000"/>
                <w:szCs w:val="22"/>
                <w:lang w:val="en-GB"/>
              </w:rPr>
              <w:t>a.s</w:t>
            </w:r>
            <w:proofErr w:type="spellEnd"/>
            <w:r w:rsidRPr="00AF1E17">
              <w:rPr>
                <w:rFonts w:cs="Arial"/>
                <w:color w:val="000000"/>
                <w:szCs w:val="22"/>
                <w:lang w:val="en-GB"/>
              </w:rPr>
              <w:t>.</w:t>
            </w:r>
          </w:p>
        </w:tc>
        <w:tc>
          <w:tcPr>
            <w:tcW w:w="1882" w:type="dxa"/>
          </w:tcPr>
          <w:p w:rsidR="002B5B60" w:rsidRPr="00AF1E17" w:rsidRDefault="00D96B99" w:rsidP="00D96B99">
            <w:pPr>
              <w:spacing w:line="360" w:lineRule="auto"/>
              <w:rPr>
                <w:rFonts w:cs="Arial"/>
                <w:color w:val="000000"/>
                <w:szCs w:val="22"/>
                <w:lang w:val="en-GB"/>
              </w:rPr>
            </w:pPr>
            <w:r w:rsidRPr="00AF1E17">
              <w:rPr>
                <w:rFonts w:cs="Arial"/>
                <w:color w:val="000000"/>
                <w:szCs w:val="22"/>
                <w:lang w:val="en-GB"/>
              </w:rPr>
              <w:t>Czech Republic</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516*</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Alternatif</w:t>
            </w:r>
            <w:proofErr w:type="spellEnd"/>
            <w:r w:rsidRPr="00AF1E17">
              <w:rPr>
                <w:rFonts w:cs="Arial"/>
                <w:color w:val="000000"/>
                <w:szCs w:val="22"/>
                <w:lang w:val="en-GB"/>
              </w:rPr>
              <w:t xml:space="preserve"> Bank</w:t>
            </w:r>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Tur</w:t>
            </w:r>
            <w:r w:rsidR="00D96B99" w:rsidRPr="00AF1E17">
              <w:rPr>
                <w:rFonts w:cs="Arial"/>
                <w:color w:val="000000"/>
                <w:szCs w:val="22"/>
                <w:lang w:val="en-GB"/>
              </w:rPr>
              <w:t>key</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Commercial Bank of Qatar</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Qatar</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432</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Dong Energy (Polish wind power assets)</w:t>
            </w:r>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Pol</w:t>
            </w:r>
            <w:r w:rsidR="00D96B99" w:rsidRPr="00AF1E17">
              <w:rPr>
                <w:rFonts w:cs="Arial"/>
                <w:color w:val="000000"/>
                <w:szCs w:val="22"/>
                <w:lang w:val="en-GB"/>
              </w:rPr>
              <w:t>and</w:t>
            </w:r>
          </w:p>
        </w:tc>
        <w:tc>
          <w:tcPr>
            <w:tcW w:w="1882" w:type="dxa"/>
          </w:tcPr>
          <w:p w:rsidR="002B5B60" w:rsidRPr="00EA1603" w:rsidRDefault="002B5B60" w:rsidP="00693FF3">
            <w:pPr>
              <w:spacing w:line="360" w:lineRule="auto"/>
              <w:rPr>
                <w:rFonts w:cs="Arial"/>
                <w:color w:val="000000"/>
                <w:szCs w:val="22"/>
                <w:lang w:val="pl-PL"/>
              </w:rPr>
            </w:pPr>
            <w:r w:rsidRPr="00EA1603">
              <w:rPr>
                <w:rFonts w:cs="Arial"/>
                <w:color w:val="000000"/>
                <w:szCs w:val="22"/>
                <w:lang w:val="pl-PL"/>
              </w:rPr>
              <w:t>Energa Hydro Sp. Z o.o.; Polska Grupa Energetyczna S.A.</w:t>
            </w:r>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Pol</w:t>
            </w:r>
            <w:r w:rsidR="00D96B99" w:rsidRPr="00AF1E17">
              <w:rPr>
                <w:rFonts w:cs="Arial"/>
                <w:color w:val="000000"/>
                <w:szCs w:val="22"/>
                <w:lang w:val="en-GB"/>
              </w:rPr>
              <w:t>and</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320</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Beymen</w:t>
            </w:r>
            <w:proofErr w:type="spellEnd"/>
            <w:r w:rsidRPr="00AF1E17">
              <w:rPr>
                <w:rFonts w:cs="Arial"/>
                <w:color w:val="000000"/>
                <w:szCs w:val="22"/>
                <w:lang w:val="en-GB"/>
              </w:rPr>
              <w:t xml:space="preserve"> </w:t>
            </w:r>
            <w:proofErr w:type="spellStart"/>
            <w:r w:rsidRPr="00AF1E17">
              <w:rPr>
                <w:rFonts w:cs="Arial"/>
                <w:color w:val="000000"/>
                <w:szCs w:val="22"/>
                <w:lang w:val="en-GB"/>
              </w:rPr>
              <w:t>Magazacilik</w:t>
            </w:r>
            <w:proofErr w:type="spellEnd"/>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Tur</w:t>
            </w:r>
            <w:r w:rsidR="00D96B99" w:rsidRPr="00AF1E17">
              <w:rPr>
                <w:rFonts w:cs="Arial"/>
                <w:color w:val="000000"/>
                <w:szCs w:val="22"/>
                <w:lang w:val="en-GB"/>
              </w:rPr>
              <w:t>key</w:t>
            </w:r>
          </w:p>
        </w:tc>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Altinyildiz</w:t>
            </w:r>
            <w:proofErr w:type="spellEnd"/>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Tur</w:t>
            </w:r>
            <w:r w:rsidR="00D96B99" w:rsidRPr="00AF1E17">
              <w:rPr>
                <w:rFonts w:cs="Arial"/>
                <w:color w:val="000000"/>
                <w:szCs w:val="22"/>
                <w:lang w:val="en-GB"/>
              </w:rPr>
              <w:t>key</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287</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Iberdrola</w:t>
            </w:r>
            <w:proofErr w:type="spellEnd"/>
            <w:r w:rsidRPr="00AF1E17">
              <w:rPr>
                <w:rFonts w:cs="Arial"/>
                <w:color w:val="000000"/>
                <w:szCs w:val="22"/>
                <w:lang w:val="en-GB"/>
              </w:rPr>
              <w:t xml:space="preserve"> Renewables </w:t>
            </w:r>
            <w:proofErr w:type="spellStart"/>
            <w:r w:rsidRPr="00AF1E17">
              <w:rPr>
                <w:rFonts w:cs="Arial"/>
                <w:color w:val="000000"/>
                <w:szCs w:val="22"/>
                <w:lang w:val="en-GB"/>
              </w:rPr>
              <w:t>Polska</w:t>
            </w:r>
            <w:proofErr w:type="spellEnd"/>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Poland</w:t>
            </w:r>
          </w:p>
        </w:tc>
        <w:tc>
          <w:tcPr>
            <w:tcW w:w="1882" w:type="dxa"/>
          </w:tcPr>
          <w:p w:rsidR="002B5B60" w:rsidRPr="00EA1603" w:rsidRDefault="002B5B60" w:rsidP="00693FF3">
            <w:pPr>
              <w:spacing w:line="360" w:lineRule="auto"/>
              <w:rPr>
                <w:rFonts w:cs="Arial"/>
                <w:color w:val="000000"/>
                <w:szCs w:val="22"/>
                <w:lang w:val="pl-PL"/>
              </w:rPr>
            </w:pPr>
            <w:r w:rsidRPr="00EA1603">
              <w:rPr>
                <w:rFonts w:cs="Arial"/>
                <w:color w:val="000000"/>
                <w:szCs w:val="22"/>
                <w:lang w:val="pl-PL"/>
              </w:rPr>
              <w:t>Energa Hydro Sp. Z o.o.; Polska Grupa Energetyczna S.A.</w:t>
            </w:r>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Pol</w:t>
            </w:r>
            <w:r w:rsidR="00D96B99" w:rsidRPr="00AF1E17">
              <w:rPr>
                <w:rFonts w:cs="Arial"/>
                <w:color w:val="000000"/>
                <w:szCs w:val="22"/>
                <w:lang w:val="en-GB"/>
              </w:rPr>
              <w:t>and</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272</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 xml:space="preserve">Veolia </w:t>
            </w:r>
            <w:proofErr w:type="spellStart"/>
            <w:r w:rsidRPr="00AF1E17">
              <w:rPr>
                <w:rFonts w:cs="Arial"/>
                <w:color w:val="000000"/>
                <w:szCs w:val="22"/>
                <w:lang w:val="en-GB"/>
              </w:rPr>
              <w:t>Transdev</w:t>
            </w:r>
            <w:proofErr w:type="spellEnd"/>
            <w:r w:rsidRPr="00AF1E17">
              <w:rPr>
                <w:rFonts w:cs="Arial"/>
                <w:color w:val="000000"/>
                <w:szCs w:val="22"/>
                <w:lang w:val="en-GB"/>
              </w:rPr>
              <w:t xml:space="preserve"> Central Europe</w:t>
            </w:r>
          </w:p>
        </w:tc>
        <w:tc>
          <w:tcPr>
            <w:tcW w:w="1882" w:type="dxa"/>
          </w:tcPr>
          <w:p w:rsidR="002B5B60" w:rsidRPr="00AF1E17" w:rsidRDefault="002B5B60" w:rsidP="00D96B99">
            <w:pPr>
              <w:spacing w:line="360" w:lineRule="auto"/>
              <w:rPr>
                <w:rFonts w:cs="Arial"/>
                <w:color w:val="000000"/>
                <w:szCs w:val="22"/>
                <w:lang w:val="en-GB"/>
              </w:rPr>
            </w:pPr>
            <w:r w:rsidRPr="00AF1E17">
              <w:rPr>
                <w:rFonts w:cs="Arial"/>
                <w:color w:val="000000"/>
                <w:szCs w:val="22"/>
                <w:lang w:val="en-GB"/>
              </w:rPr>
              <w:t>Slov</w:t>
            </w:r>
            <w:r w:rsidR="00D96B99" w:rsidRPr="00AF1E17">
              <w:rPr>
                <w:rFonts w:cs="Arial"/>
                <w:color w:val="000000"/>
                <w:szCs w:val="22"/>
                <w:lang w:val="en-GB"/>
              </w:rPr>
              <w:t>enia</w:t>
            </w:r>
            <w:r w:rsidRPr="00AF1E17">
              <w:rPr>
                <w:rFonts w:cs="Arial"/>
                <w:color w:val="000000"/>
                <w:szCs w:val="22"/>
                <w:lang w:val="en-GB"/>
              </w:rPr>
              <w:t>, S</w:t>
            </w:r>
            <w:r w:rsidR="00D96B99" w:rsidRPr="00AF1E17">
              <w:rPr>
                <w:rFonts w:cs="Arial"/>
                <w:color w:val="000000"/>
                <w:szCs w:val="22"/>
                <w:lang w:val="en-GB"/>
              </w:rPr>
              <w:t>erbia</w:t>
            </w:r>
            <w:r w:rsidRPr="00AF1E17">
              <w:rPr>
                <w:rFonts w:cs="Arial"/>
                <w:color w:val="000000"/>
                <w:szCs w:val="22"/>
                <w:lang w:val="en-GB"/>
              </w:rPr>
              <w:t xml:space="preserve">, </w:t>
            </w:r>
            <w:r w:rsidR="00D96B99" w:rsidRPr="00AF1E17">
              <w:rPr>
                <w:rFonts w:cs="Arial"/>
                <w:color w:val="000000"/>
                <w:szCs w:val="22"/>
                <w:lang w:val="en-GB"/>
              </w:rPr>
              <w:t>Czech Republic</w:t>
            </w:r>
            <w:r w:rsidRPr="00AF1E17">
              <w:rPr>
                <w:rFonts w:cs="Arial"/>
                <w:color w:val="000000"/>
                <w:szCs w:val="22"/>
                <w:lang w:val="en-GB"/>
              </w:rPr>
              <w:t>, Slov</w:t>
            </w:r>
            <w:r w:rsidR="00D96B99" w:rsidRPr="00AF1E17">
              <w:rPr>
                <w:rFonts w:cs="Arial"/>
                <w:color w:val="000000"/>
                <w:szCs w:val="22"/>
                <w:lang w:val="en-GB"/>
              </w:rPr>
              <w:t>akia</w:t>
            </w:r>
            <w:r w:rsidRPr="00AF1E17">
              <w:rPr>
                <w:rFonts w:cs="Arial"/>
                <w:color w:val="000000"/>
                <w:szCs w:val="22"/>
                <w:lang w:val="en-GB"/>
              </w:rPr>
              <w:t>, Pol</w:t>
            </w:r>
            <w:r w:rsidR="00D96B99" w:rsidRPr="00AF1E17">
              <w:rPr>
                <w:rFonts w:cs="Arial"/>
                <w:color w:val="000000"/>
                <w:szCs w:val="22"/>
                <w:lang w:val="en-GB"/>
              </w:rPr>
              <w:t>and</w:t>
            </w:r>
            <w:r w:rsidRPr="00AF1E17">
              <w:rPr>
                <w:rFonts w:cs="Arial"/>
                <w:color w:val="000000"/>
                <w:szCs w:val="22"/>
                <w:lang w:val="en-GB"/>
              </w:rPr>
              <w:t>, C</w:t>
            </w:r>
            <w:r w:rsidR="00D96B99" w:rsidRPr="00AF1E17">
              <w:rPr>
                <w:rFonts w:cs="Arial"/>
                <w:color w:val="000000"/>
                <w:szCs w:val="22"/>
                <w:lang w:val="en-GB"/>
              </w:rPr>
              <w:t>roatia</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 xml:space="preserve">Deutsche </w:t>
            </w:r>
            <w:proofErr w:type="spellStart"/>
            <w:r w:rsidRPr="00AF1E17">
              <w:rPr>
                <w:rFonts w:cs="Arial"/>
                <w:color w:val="000000"/>
                <w:szCs w:val="22"/>
                <w:lang w:val="en-GB"/>
              </w:rPr>
              <w:t>Bahn</w:t>
            </w:r>
            <w:proofErr w:type="spellEnd"/>
          </w:p>
        </w:tc>
        <w:tc>
          <w:tcPr>
            <w:tcW w:w="1882" w:type="dxa"/>
          </w:tcPr>
          <w:p w:rsidR="002B5B60" w:rsidRPr="00AF1E17" w:rsidRDefault="00D96B99" w:rsidP="00D96B99">
            <w:pPr>
              <w:spacing w:line="360" w:lineRule="auto"/>
              <w:rPr>
                <w:rFonts w:cs="Arial"/>
                <w:color w:val="000000"/>
                <w:szCs w:val="22"/>
                <w:lang w:val="en-GB"/>
              </w:rPr>
            </w:pPr>
            <w:r w:rsidRPr="00AF1E17">
              <w:rPr>
                <w:rFonts w:cs="Arial"/>
                <w:color w:val="000000"/>
                <w:szCs w:val="22"/>
                <w:lang w:val="en-GB"/>
              </w:rPr>
              <w:t>Germany</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263</w:t>
            </w:r>
          </w:p>
        </w:tc>
      </w:tr>
      <w:tr w:rsidR="002B5B60" w:rsidRPr="00AF1E17" w:rsidTr="00693FF3">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Chvaletice</w:t>
            </w:r>
            <w:proofErr w:type="spellEnd"/>
            <w:r w:rsidRPr="00AF1E17">
              <w:rPr>
                <w:rFonts w:cs="Arial"/>
                <w:color w:val="000000"/>
                <w:szCs w:val="22"/>
                <w:lang w:val="en-GB"/>
              </w:rPr>
              <w:t xml:space="preserve"> Power Plant</w:t>
            </w:r>
          </w:p>
        </w:tc>
        <w:tc>
          <w:tcPr>
            <w:tcW w:w="1882" w:type="dxa"/>
          </w:tcPr>
          <w:p w:rsidR="002B5B60" w:rsidRPr="00AF1E17" w:rsidRDefault="00D96B99" w:rsidP="00693FF3">
            <w:pPr>
              <w:spacing w:line="360" w:lineRule="auto"/>
              <w:rPr>
                <w:rFonts w:cs="Arial"/>
                <w:color w:val="000000"/>
                <w:szCs w:val="22"/>
                <w:lang w:val="en-GB"/>
              </w:rPr>
            </w:pPr>
            <w:r w:rsidRPr="00AF1E17">
              <w:rPr>
                <w:rFonts w:cs="Arial"/>
                <w:color w:val="000000"/>
                <w:szCs w:val="22"/>
                <w:lang w:val="en-GB"/>
              </w:rPr>
              <w:t>Czech Republic</w:t>
            </w:r>
          </w:p>
        </w:tc>
        <w:tc>
          <w:tcPr>
            <w:tcW w:w="1882" w:type="dxa"/>
          </w:tcPr>
          <w:p w:rsidR="002B5B60" w:rsidRPr="00AF1E17" w:rsidRDefault="002B5B60" w:rsidP="00693FF3">
            <w:pPr>
              <w:spacing w:line="360" w:lineRule="auto"/>
              <w:rPr>
                <w:rFonts w:cs="Arial"/>
                <w:color w:val="000000"/>
                <w:szCs w:val="22"/>
                <w:lang w:val="en-GB"/>
              </w:rPr>
            </w:pPr>
            <w:proofErr w:type="spellStart"/>
            <w:r w:rsidRPr="00AF1E17">
              <w:rPr>
                <w:rFonts w:cs="Arial"/>
                <w:color w:val="000000"/>
                <w:szCs w:val="22"/>
                <w:lang w:val="en-GB"/>
              </w:rPr>
              <w:t>Litvínovská</w:t>
            </w:r>
            <w:proofErr w:type="spellEnd"/>
            <w:r w:rsidRPr="00AF1E17">
              <w:rPr>
                <w:rFonts w:cs="Arial"/>
                <w:color w:val="000000"/>
                <w:szCs w:val="22"/>
                <w:lang w:val="en-GB"/>
              </w:rPr>
              <w:t xml:space="preserve"> </w:t>
            </w:r>
            <w:proofErr w:type="spellStart"/>
            <w:r w:rsidRPr="00AF1E17">
              <w:rPr>
                <w:rFonts w:cs="Arial"/>
                <w:color w:val="000000"/>
                <w:szCs w:val="22"/>
                <w:lang w:val="en-GB"/>
              </w:rPr>
              <w:t>uhelná</w:t>
            </w:r>
            <w:proofErr w:type="spellEnd"/>
            <w:r w:rsidRPr="00AF1E17">
              <w:rPr>
                <w:rFonts w:cs="Arial"/>
                <w:color w:val="000000"/>
                <w:szCs w:val="22"/>
                <w:lang w:val="en-GB"/>
              </w:rPr>
              <w:t xml:space="preserve"> </w:t>
            </w:r>
            <w:proofErr w:type="spellStart"/>
            <w:r w:rsidRPr="00AF1E17">
              <w:rPr>
                <w:rFonts w:cs="Arial"/>
                <w:color w:val="000000"/>
                <w:szCs w:val="22"/>
                <w:lang w:val="en-GB"/>
              </w:rPr>
              <w:t>a.s</w:t>
            </w:r>
            <w:proofErr w:type="spellEnd"/>
            <w:r w:rsidRPr="00AF1E17">
              <w:rPr>
                <w:rFonts w:cs="Arial"/>
                <w:color w:val="000000"/>
                <w:szCs w:val="22"/>
                <w:lang w:val="en-GB"/>
              </w:rPr>
              <w:t>.</w:t>
            </w:r>
          </w:p>
        </w:tc>
        <w:tc>
          <w:tcPr>
            <w:tcW w:w="1882" w:type="dxa"/>
          </w:tcPr>
          <w:p w:rsidR="002B5B60" w:rsidRPr="00AF1E17" w:rsidRDefault="00D96B99" w:rsidP="00D96B99">
            <w:pPr>
              <w:spacing w:line="360" w:lineRule="auto"/>
              <w:rPr>
                <w:rFonts w:cs="Arial"/>
                <w:color w:val="000000"/>
                <w:szCs w:val="22"/>
                <w:lang w:val="en-GB"/>
              </w:rPr>
            </w:pPr>
            <w:r w:rsidRPr="00AF1E17">
              <w:rPr>
                <w:rFonts w:cs="Arial"/>
                <w:color w:val="000000"/>
                <w:szCs w:val="22"/>
                <w:lang w:val="en-GB"/>
              </w:rPr>
              <w:t>Czech Republic</w:t>
            </w:r>
          </w:p>
        </w:tc>
        <w:tc>
          <w:tcPr>
            <w:tcW w:w="1882" w:type="dxa"/>
          </w:tcPr>
          <w:p w:rsidR="002B5B60" w:rsidRPr="00AF1E17" w:rsidRDefault="002B5B60" w:rsidP="00693FF3">
            <w:pPr>
              <w:spacing w:line="360" w:lineRule="auto"/>
              <w:rPr>
                <w:rFonts w:cs="Arial"/>
                <w:color w:val="000000"/>
                <w:szCs w:val="22"/>
                <w:lang w:val="en-GB"/>
              </w:rPr>
            </w:pPr>
            <w:r w:rsidRPr="00AF1E17">
              <w:rPr>
                <w:rFonts w:cs="Arial"/>
                <w:color w:val="000000"/>
                <w:szCs w:val="22"/>
                <w:lang w:val="en-GB"/>
              </w:rPr>
              <w:t>207</w:t>
            </w:r>
          </w:p>
        </w:tc>
      </w:tr>
    </w:tbl>
    <w:p w:rsidR="002B5B60" w:rsidRPr="00AF1E17" w:rsidRDefault="002B5B60" w:rsidP="002B5B60">
      <w:pPr>
        <w:spacing w:line="360" w:lineRule="auto"/>
        <w:rPr>
          <w:rFonts w:cs="Arial"/>
          <w:color w:val="000000"/>
          <w:sz w:val="22"/>
          <w:szCs w:val="22"/>
          <w:lang w:val="en-GB"/>
        </w:rPr>
      </w:pPr>
    </w:p>
    <w:p w:rsidR="002B5B60" w:rsidRPr="00AF1E17" w:rsidRDefault="00D96B99" w:rsidP="002B5B60">
      <w:pPr>
        <w:spacing w:line="360" w:lineRule="auto"/>
        <w:rPr>
          <w:rFonts w:cs="Arial"/>
          <w:b/>
          <w:color w:val="000000"/>
          <w:sz w:val="22"/>
          <w:szCs w:val="22"/>
          <w:lang w:val="en-GB"/>
        </w:rPr>
      </w:pPr>
      <w:r w:rsidRPr="00AF1E17">
        <w:rPr>
          <w:rFonts w:cs="Arial"/>
          <w:b/>
          <w:color w:val="000000"/>
          <w:sz w:val="22"/>
          <w:szCs w:val="22"/>
          <w:lang w:val="en-GB"/>
        </w:rPr>
        <w:t>Outlook for the 12 months to come</w:t>
      </w:r>
    </w:p>
    <w:p w:rsidR="002B5B60" w:rsidRPr="00AF1E17" w:rsidRDefault="00D96B99" w:rsidP="002B5B60">
      <w:pPr>
        <w:spacing w:line="360" w:lineRule="auto"/>
        <w:rPr>
          <w:rFonts w:cs="Arial"/>
          <w:color w:val="000000"/>
          <w:sz w:val="22"/>
          <w:szCs w:val="22"/>
          <w:lang w:val="en-GB"/>
        </w:rPr>
      </w:pPr>
      <w:r w:rsidRPr="00AF1E17">
        <w:rPr>
          <w:rFonts w:cs="Arial"/>
          <w:i/>
          <w:color w:val="000000"/>
          <w:sz w:val="22"/>
          <w:szCs w:val="22"/>
          <w:lang w:val="en-GB"/>
        </w:rPr>
        <w:t>“</w:t>
      </w:r>
      <w:r w:rsidR="002C2677">
        <w:rPr>
          <w:rFonts w:cs="Arial"/>
          <w:i/>
          <w:color w:val="000000"/>
          <w:sz w:val="22"/>
          <w:szCs w:val="22"/>
          <w:lang w:val="en-GB"/>
        </w:rPr>
        <w:t>The year</w:t>
      </w:r>
      <w:r w:rsidR="002B5B60" w:rsidRPr="00AF1E17">
        <w:rPr>
          <w:rFonts w:cs="Arial"/>
          <w:i/>
          <w:color w:val="000000"/>
          <w:sz w:val="22"/>
          <w:szCs w:val="22"/>
          <w:lang w:val="en-GB"/>
        </w:rPr>
        <w:t xml:space="preserve"> 2013 </w:t>
      </w:r>
      <w:r w:rsidR="002C2677">
        <w:rPr>
          <w:rFonts w:cs="Arial"/>
          <w:i/>
          <w:color w:val="000000"/>
          <w:sz w:val="22"/>
          <w:szCs w:val="22"/>
          <w:lang w:val="en-GB"/>
        </w:rPr>
        <w:t>will be definitely better than the previous year in terms of the number of transactions closed in the Czech Republic</w:t>
      </w:r>
      <w:r w:rsidR="002B5B60" w:rsidRPr="00AF1E17">
        <w:rPr>
          <w:rFonts w:cs="Arial"/>
          <w:i/>
          <w:color w:val="000000"/>
          <w:sz w:val="22"/>
          <w:szCs w:val="22"/>
          <w:lang w:val="en-GB"/>
        </w:rPr>
        <w:t xml:space="preserve">. </w:t>
      </w:r>
      <w:r w:rsidR="002C2677">
        <w:rPr>
          <w:rFonts w:cs="Arial"/>
          <w:i/>
          <w:color w:val="000000"/>
          <w:sz w:val="22"/>
          <w:szCs w:val="22"/>
          <w:lang w:val="en-GB"/>
        </w:rPr>
        <w:t xml:space="preserve">In Q4, we expect the closing of some </w:t>
      </w:r>
      <w:r w:rsidR="00C1359A">
        <w:rPr>
          <w:rFonts w:cs="Arial"/>
          <w:i/>
          <w:color w:val="000000"/>
          <w:sz w:val="22"/>
          <w:szCs w:val="22"/>
          <w:lang w:val="en-GB"/>
        </w:rPr>
        <w:t>deals that are already under negotiation in the field of telecommunications, media or mechanical engineering</w:t>
      </w:r>
      <w:r w:rsidR="002B5B60" w:rsidRPr="00AF1E17">
        <w:rPr>
          <w:rFonts w:cs="Arial"/>
          <w:i/>
          <w:color w:val="000000"/>
          <w:sz w:val="22"/>
          <w:szCs w:val="22"/>
          <w:lang w:val="en-GB"/>
        </w:rPr>
        <w:t xml:space="preserve">. </w:t>
      </w:r>
      <w:r w:rsidR="00C1359A">
        <w:rPr>
          <w:rFonts w:cs="Arial"/>
          <w:i/>
          <w:color w:val="000000"/>
          <w:sz w:val="22"/>
          <w:szCs w:val="22"/>
          <w:lang w:val="en-GB"/>
        </w:rPr>
        <w:t xml:space="preserve">There is currently an enormous overabundance of free capital in the market and </w:t>
      </w:r>
      <w:r w:rsidR="002A3EB5">
        <w:rPr>
          <w:rFonts w:cs="Arial"/>
          <w:i/>
          <w:color w:val="000000"/>
          <w:sz w:val="22"/>
          <w:szCs w:val="22"/>
          <w:lang w:val="en-GB"/>
        </w:rPr>
        <w:t>the most significant obstacle to</w:t>
      </w:r>
      <w:r w:rsidR="00C1359A">
        <w:rPr>
          <w:rFonts w:cs="Arial"/>
          <w:i/>
          <w:color w:val="000000"/>
          <w:sz w:val="22"/>
          <w:szCs w:val="22"/>
          <w:lang w:val="en-GB"/>
        </w:rPr>
        <w:t xml:space="preserve"> a more intensive transaction activity is the lack of interesting and sufficiently sized investment opportunities,”</w:t>
      </w:r>
      <w:r w:rsidRPr="00AF1E17">
        <w:rPr>
          <w:rFonts w:cs="Arial"/>
          <w:color w:val="000000"/>
          <w:sz w:val="22"/>
          <w:szCs w:val="22"/>
          <w:lang w:val="en-GB"/>
        </w:rPr>
        <w:t xml:space="preserve"> </w:t>
      </w:r>
      <w:r w:rsidR="009340C3">
        <w:rPr>
          <w:rFonts w:cs="Arial"/>
          <w:color w:val="000000"/>
          <w:sz w:val="22"/>
          <w:szCs w:val="22"/>
          <w:lang w:val="en-GB"/>
        </w:rPr>
        <w:t xml:space="preserve">adds </w:t>
      </w:r>
      <w:proofErr w:type="spellStart"/>
      <w:r w:rsidR="002D3875">
        <w:rPr>
          <w:rFonts w:cs="Arial"/>
          <w:color w:val="000000"/>
          <w:sz w:val="22"/>
          <w:szCs w:val="22"/>
          <w:lang w:val="en-GB"/>
        </w:rPr>
        <w:t>Petr</w:t>
      </w:r>
      <w:proofErr w:type="spellEnd"/>
      <w:r w:rsidR="002D3875">
        <w:rPr>
          <w:rFonts w:cs="Arial"/>
          <w:color w:val="000000"/>
          <w:sz w:val="22"/>
          <w:szCs w:val="22"/>
          <w:lang w:val="en-GB"/>
        </w:rPr>
        <w:t xml:space="preserve"> </w:t>
      </w:r>
      <w:proofErr w:type="spellStart"/>
      <w:r w:rsidR="002D3875">
        <w:rPr>
          <w:rFonts w:cs="Arial"/>
          <w:color w:val="000000"/>
          <w:sz w:val="22"/>
          <w:szCs w:val="22"/>
          <w:lang w:val="en-GB"/>
        </w:rPr>
        <w:t>Kříž</w:t>
      </w:r>
      <w:proofErr w:type="spellEnd"/>
      <w:r w:rsidR="002D3875">
        <w:rPr>
          <w:rFonts w:cs="Arial"/>
          <w:color w:val="000000"/>
          <w:sz w:val="22"/>
          <w:szCs w:val="22"/>
          <w:lang w:val="en-GB"/>
        </w:rPr>
        <w:t>.</w:t>
      </w:r>
    </w:p>
    <w:p w:rsidR="002B5B60" w:rsidRPr="00AF1E17" w:rsidRDefault="009340C3" w:rsidP="002B5B60">
      <w:pPr>
        <w:autoSpaceDE w:val="0"/>
        <w:autoSpaceDN w:val="0"/>
        <w:adjustRightInd w:val="0"/>
        <w:spacing w:line="360" w:lineRule="auto"/>
        <w:rPr>
          <w:rFonts w:cs="Arial"/>
          <w:color w:val="000000"/>
          <w:sz w:val="22"/>
          <w:szCs w:val="22"/>
          <w:lang w:val="en-GB"/>
        </w:rPr>
      </w:pPr>
      <w:r>
        <w:rPr>
          <w:rFonts w:cs="Arial"/>
          <w:color w:val="000000"/>
          <w:sz w:val="22"/>
          <w:szCs w:val="22"/>
          <w:lang w:val="en-GB"/>
        </w:rPr>
        <w:t xml:space="preserve"> </w:t>
      </w:r>
    </w:p>
    <w:p w:rsidR="002B5B60" w:rsidRPr="00AF1E17" w:rsidRDefault="00D96B99" w:rsidP="00C1359A">
      <w:pPr>
        <w:keepNext/>
        <w:spacing w:line="360" w:lineRule="auto"/>
        <w:rPr>
          <w:rFonts w:cs="Arial"/>
          <w:b/>
          <w:bCs/>
          <w:sz w:val="18"/>
          <w:szCs w:val="18"/>
          <w:lang w:val="en-GB"/>
        </w:rPr>
      </w:pPr>
      <w:r w:rsidRPr="00AF1E17">
        <w:rPr>
          <w:rFonts w:cs="Arial"/>
          <w:b/>
          <w:bCs/>
          <w:sz w:val="18"/>
          <w:szCs w:val="18"/>
          <w:lang w:val="en-GB"/>
        </w:rPr>
        <w:t>About the survey</w:t>
      </w:r>
    </w:p>
    <w:p w:rsidR="002B5B60" w:rsidRPr="00AF1E17" w:rsidRDefault="00AF1E17" w:rsidP="00AF1E17">
      <w:pPr>
        <w:rPr>
          <w:rFonts w:cs="Arial"/>
          <w:sz w:val="18"/>
          <w:szCs w:val="18"/>
          <w:lang w:val="en-GB" w:eastAsia="cs-CZ"/>
        </w:rPr>
      </w:pPr>
      <w:r w:rsidRPr="00AF1E17">
        <w:rPr>
          <w:rFonts w:cs="Arial"/>
          <w:sz w:val="18"/>
          <w:szCs w:val="18"/>
          <w:lang w:val="en-GB" w:eastAsia="cs-CZ"/>
        </w:rPr>
        <w:t>EY‘s M&amp;A Barometer is a summary</w:t>
      </w:r>
      <w:r>
        <w:rPr>
          <w:rFonts w:cs="Arial"/>
          <w:sz w:val="18"/>
          <w:szCs w:val="18"/>
          <w:lang w:val="en-GB" w:eastAsia="cs-CZ"/>
        </w:rPr>
        <w:t xml:space="preserve"> </w:t>
      </w:r>
      <w:r w:rsidRPr="00AF1E17">
        <w:rPr>
          <w:rFonts w:cs="Arial"/>
          <w:sz w:val="18"/>
          <w:szCs w:val="18"/>
          <w:lang w:val="en-GB" w:eastAsia="cs-CZ"/>
        </w:rPr>
        <w:t>and analysis of publicly disclosed</w:t>
      </w:r>
      <w:r>
        <w:rPr>
          <w:rFonts w:cs="Arial"/>
          <w:sz w:val="18"/>
          <w:szCs w:val="18"/>
          <w:lang w:val="en-GB" w:eastAsia="cs-CZ"/>
        </w:rPr>
        <w:t xml:space="preserve"> </w:t>
      </w:r>
      <w:r w:rsidRPr="00AF1E17">
        <w:rPr>
          <w:rFonts w:cs="Arial"/>
          <w:sz w:val="18"/>
          <w:szCs w:val="18"/>
          <w:lang w:val="en-GB" w:eastAsia="cs-CZ"/>
        </w:rPr>
        <w:t>information accumulated from</w:t>
      </w:r>
      <w:r>
        <w:rPr>
          <w:rFonts w:cs="Arial"/>
          <w:sz w:val="18"/>
          <w:szCs w:val="18"/>
          <w:lang w:val="en-GB" w:eastAsia="cs-CZ"/>
        </w:rPr>
        <w:t xml:space="preserve"> </w:t>
      </w:r>
      <w:r w:rsidRPr="00AF1E17">
        <w:rPr>
          <w:rFonts w:cs="Arial"/>
          <w:sz w:val="18"/>
          <w:szCs w:val="18"/>
          <w:lang w:val="en-GB" w:eastAsia="cs-CZ"/>
        </w:rPr>
        <w:t>various reputable databases, such</w:t>
      </w:r>
      <w:r>
        <w:rPr>
          <w:rFonts w:cs="Arial"/>
          <w:sz w:val="18"/>
          <w:szCs w:val="18"/>
          <w:lang w:val="en-GB" w:eastAsia="cs-CZ"/>
        </w:rPr>
        <w:t xml:space="preserve"> </w:t>
      </w:r>
      <w:r w:rsidRPr="00AF1E17">
        <w:rPr>
          <w:rFonts w:cs="Arial"/>
          <w:sz w:val="18"/>
          <w:szCs w:val="18"/>
          <w:lang w:val="en-GB" w:eastAsia="cs-CZ"/>
        </w:rPr>
        <w:t xml:space="preserve">as </w:t>
      </w:r>
      <w:r w:rsidR="002B5B60" w:rsidRPr="00AF1E17">
        <w:rPr>
          <w:rFonts w:cs="Arial"/>
          <w:sz w:val="18"/>
          <w:szCs w:val="18"/>
          <w:lang w:val="en-GB" w:eastAsia="cs-CZ"/>
        </w:rPr>
        <w:t xml:space="preserve">Capital IQ, </w:t>
      </w:r>
      <w:proofErr w:type="spellStart"/>
      <w:r w:rsidR="002B5B60" w:rsidRPr="00AF1E17">
        <w:rPr>
          <w:rFonts w:cs="Arial"/>
          <w:sz w:val="18"/>
          <w:szCs w:val="18"/>
          <w:lang w:val="en-GB" w:eastAsia="cs-CZ"/>
        </w:rPr>
        <w:t>DealWatch</w:t>
      </w:r>
      <w:proofErr w:type="spellEnd"/>
      <w:r w:rsidR="002B5B60" w:rsidRPr="00AF1E17">
        <w:rPr>
          <w:rFonts w:cs="Arial"/>
          <w:sz w:val="18"/>
          <w:szCs w:val="18"/>
          <w:lang w:val="en-GB" w:eastAsia="cs-CZ"/>
        </w:rPr>
        <w:t xml:space="preserve">, </w:t>
      </w:r>
      <w:proofErr w:type="spellStart"/>
      <w:r w:rsidR="002B5B60" w:rsidRPr="00AF1E17">
        <w:rPr>
          <w:rFonts w:cs="Arial"/>
          <w:sz w:val="18"/>
          <w:szCs w:val="18"/>
          <w:lang w:val="en-GB" w:eastAsia="cs-CZ"/>
        </w:rPr>
        <w:t>mergermarket</w:t>
      </w:r>
      <w:proofErr w:type="spellEnd"/>
      <w:r w:rsidR="002B5B60" w:rsidRPr="00AF1E17">
        <w:rPr>
          <w:rFonts w:cs="Arial"/>
          <w:sz w:val="18"/>
          <w:szCs w:val="18"/>
          <w:lang w:val="en-GB" w:eastAsia="cs-CZ"/>
        </w:rPr>
        <w:t xml:space="preserve">, Zephyr </w:t>
      </w:r>
      <w:r>
        <w:rPr>
          <w:rFonts w:cs="Arial"/>
          <w:sz w:val="18"/>
          <w:szCs w:val="18"/>
          <w:lang w:val="en-GB" w:eastAsia="cs-CZ"/>
        </w:rPr>
        <w:t>or EY’s own databases</w:t>
      </w:r>
      <w:r w:rsidR="002B5B60" w:rsidRPr="00AF1E17">
        <w:rPr>
          <w:rFonts w:cs="Arial"/>
          <w:sz w:val="18"/>
          <w:szCs w:val="18"/>
          <w:lang w:val="en-GB" w:eastAsia="cs-CZ"/>
        </w:rPr>
        <w:t xml:space="preserve">. </w:t>
      </w:r>
      <w:r>
        <w:rPr>
          <w:rFonts w:cs="Arial"/>
          <w:sz w:val="18"/>
          <w:szCs w:val="18"/>
          <w:lang w:val="en-GB" w:eastAsia="cs-CZ"/>
        </w:rPr>
        <w:t>The data have been processed for the region of Central and South Eastern Europe</w:t>
      </w:r>
      <w:r w:rsidR="002B5B60" w:rsidRPr="00AF1E17">
        <w:rPr>
          <w:rFonts w:cs="Arial"/>
          <w:sz w:val="18"/>
          <w:szCs w:val="18"/>
          <w:lang w:val="en-GB" w:eastAsia="cs-CZ"/>
        </w:rPr>
        <w:t>: Bul</w:t>
      </w:r>
      <w:r>
        <w:rPr>
          <w:rFonts w:cs="Arial"/>
          <w:sz w:val="18"/>
          <w:szCs w:val="18"/>
          <w:lang w:val="en-GB" w:eastAsia="cs-CZ"/>
        </w:rPr>
        <w:t>garia</w:t>
      </w:r>
      <w:r w:rsidR="002B5B60" w:rsidRPr="00AF1E17">
        <w:rPr>
          <w:rFonts w:cs="Arial"/>
          <w:sz w:val="18"/>
          <w:szCs w:val="18"/>
          <w:lang w:val="en-GB" w:eastAsia="cs-CZ"/>
        </w:rPr>
        <w:t xml:space="preserve">, </w:t>
      </w:r>
      <w:r>
        <w:rPr>
          <w:rFonts w:cs="Arial"/>
          <w:sz w:val="18"/>
          <w:szCs w:val="18"/>
          <w:lang w:val="en-GB" w:eastAsia="cs-CZ"/>
        </w:rPr>
        <w:t>Czech Republic</w:t>
      </w:r>
      <w:r w:rsidR="002B5B60" w:rsidRPr="00AF1E17">
        <w:rPr>
          <w:rFonts w:cs="Arial"/>
          <w:sz w:val="18"/>
          <w:szCs w:val="18"/>
          <w:lang w:val="en-GB" w:eastAsia="cs-CZ"/>
        </w:rPr>
        <w:t>, C</w:t>
      </w:r>
      <w:r>
        <w:rPr>
          <w:rFonts w:cs="Arial"/>
          <w:sz w:val="18"/>
          <w:szCs w:val="18"/>
          <w:lang w:val="en-GB" w:eastAsia="cs-CZ"/>
        </w:rPr>
        <w:t>roatia</w:t>
      </w:r>
      <w:r w:rsidR="002B5B60" w:rsidRPr="00AF1E17">
        <w:rPr>
          <w:rFonts w:cs="Arial"/>
          <w:sz w:val="18"/>
          <w:szCs w:val="18"/>
          <w:lang w:val="en-GB" w:eastAsia="cs-CZ"/>
        </w:rPr>
        <w:t xml:space="preserve">, </w:t>
      </w:r>
      <w:r>
        <w:rPr>
          <w:rFonts w:cs="Arial"/>
          <w:sz w:val="18"/>
          <w:szCs w:val="18"/>
          <w:lang w:val="en-GB" w:eastAsia="cs-CZ"/>
        </w:rPr>
        <w:t>Greece</w:t>
      </w:r>
      <w:r w:rsidR="002B5B60" w:rsidRPr="00AF1E17">
        <w:rPr>
          <w:rFonts w:cs="Arial"/>
          <w:sz w:val="18"/>
          <w:szCs w:val="18"/>
          <w:lang w:val="en-GB" w:eastAsia="cs-CZ"/>
        </w:rPr>
        <w:t xml:space="preserve">, </w:t>
      </w:r>
      <w:r>
        <w:rPr>
          <w:rFonts w:cs="Arial"/>
          <w:sz w:val="18"/>
          <w:szCs w:val="18"/>
          <w:lang w:val="en-GB" w:eastAsia="cs-CZ"/>
        </w:rPr>
        <w:t>Hungary</w:t>
      </w:r>
      <w:r w:rsidR="002B5B60" w:rsidRPr="00AF1E17">
        <w:rPr>
          <w:rFonts w:cs="Arial"/>
          <w:sz w:val="18"/>
          <w:szCs w:val="18"/>
          <w:lang w:val="en-GB" w:eastAsia="cs-CZ"/>
        </w:rPr>
        <w:t>, Pol</w:t>
      </w:r>
      <w:r>
        <w:rPr>
          <w:rFonts w:cs="Arial"/>
          <w:sz w:val="18"/>
          <w:szCs w:val="18"/>
          <w:lang w:val="en-GB" w:eastAsia="cs-CZ"/>
        </w:rPr>
        <w:t>and</w:t>
      </w:r>
      <w:r w:rsidR="002B5B60" w:rsidRPr="00AF1E17">
        <w:rPr>
          <w:rFonts w:cs="Arial"/>
          <w:sz w:val="18"/>
          <w:szCs w:val="18"/>
          <w:lang w:val="en-GB" w:eastAsia="cs-CZ"/>
        </w:rPr>
        <w:t>, R</w:t>
      </w:r>
      <w:r>
        <w:rPr>
          <w:rFonts w:cs="Arial"/>
          <w:sz w:val="18"/>
          <w:szCs w:val="18"/>
          <w:lang w:val="en-GB" w:eastAsia="cs-CZ"/>
        </w:rPr>
        <w:t>omania</w:t>
      </w:r>
      <w:r w:rsidR="002B5B60" w:rsidRPr="00AF1E17">
        <w:rPr>
          <w:rFonts w:cs="Arial"/>
          <w:sz w:val="18"/>
          <w:szCs w:val="18"/>
          <w:lang w:val="en-GB" w:eastAsia="cs-CZ"/>
        </w:rPr>
        <w:t>, S</w:t>
      </w:r>
      <w:r>
        <w:rPr>
          <w:rFonts w:cs="Arial"/>
          <w:sz w:val="18"/>
          <w:szCs w:val="18"/>
          <w:lang w:val="en-GB" w:eastAsia="cs-CZ"/>
        </w:rPr>
        <w:t>erbia</w:t>
      </w:r>
      <w:r w:rsidR="002B5B60" w:rsidRPr="00AF1E17">
        <w:rPr>
          <w:rFonts w:cs="Arial"/>
          <w:sz w:val="18"/>
          <w:szCs w:val="18"/>
          <w:lang w:val="en-GB" w:eastAsia="cs-CZ"/>
        </w:rPr>
        <w:t>, Slov</w:t>
      </w:r>
      <w:r>
        <w:rPr>
          <w:rFonts w:cs="Arial"/>
          <w:sz w:val="18"/>
          <w:szCs w:val="18"/>
          <w:lang w:val="en-GB" w:eastAsia="cs-CZ"/>
        </w:rPr>
        <w:t>akia</w:t>
      </w:r>
      <w:r w:rsidR="002B5B60" w:rsidRPr="00AF1E17">
        <w:rPr>
          <w:rFonts w:cs="Arial"/>
          <w:sz w:val="18"/>
          <w:szCs w:val="18"/>
          <w:lang w:val="en-GB" w:eastAsia="cs-CZ"/>
        </w:rPr>
        <w:t>, Slov</w:t>
      </w:r>
      <w:r>
        <w:rPr>
          <w:rFonts w:cs="Arial"/>
          <w:sz w:val="18"/>
          <w:szCs w:val="18"/>
          <w:lang w:val="en-GB" w:eastAsia="cs-CZ"/>
        </w:rPr>
        <w:t>enia and Turkey</w:t>
      </w:r>
      <w:r w:rsidR="002D3875">
        <w:rPr>
          <w:rFonts w:cs="Arial"/>
          <w:sz w:val="18"/>
          <w:szCs w:val="18"/>
          <w:lang w:val="en-GB" w:eastAsia="cs-CZ"/>
        </w:rPr>
        <w:t>. M&amp;A ac</w:t>
      </w:r>
      <w:r w:rsidR="002B5B60" w:rsidRPr="00AF1E17">
        <w:rPr>
          <w:rFonts w:cs="Arial"/>
          <w:sz w:val="18"/>
          <w:szCs w:val="18"/>
          <w:lang w:val="en-GB" w:eastAsia="cs-CZ"/>
        </w:rPr>
        <w:t>tivit</w:t>
      </w:r>
      <w:r>
        <w:rPr>
          <w:rFonts w:cs="Arial"/>
          <w:sz w:val="18"/>
          <w:szCs w:val="18"/>
          <w:lang w:val="en-GB" w:eastAsia="cs-CZ"/>
        </w:rPr>
        <w:t>ies and data include closed deals. The analysis does not include the following transactions</w:t>
      </w:r>
      <w:r w:rsidR="002B5B60" w:rsidRPr="00AF1E17">
        <w:rPr>
          <w:rFonts w:cs="Arial"/>
          <w:sz w:val="18"/>
          <w:szCs w:val="18"/>
          <w:lang w:val="en-GB" w:eastAsia="cs-CZ"/>
        </w:rPr>
        <w:t xml:space="preserve">: </w:t>
      </w:r>
      <w:r>
        <w:rPr>
          <w:rFonts w:cs="Arial"/>
          <w:sz w:val="18"/>
          <w:szCs w:val="18"/>
          <w:lang w:val="en-GB" w:eastAsia="cs-CZ"/>
        </w:rPr>
        <w:t>takeover of minority interests by majority shareholders</w:t>
      </w:r>
      <w:r w:rsidR="002B5B60" w:rsidRPr="00AF1E17">
        <w:rPr>
          <w:rFonts w:cs="Arial"/>
          <w:sz w:val="18"/>
          <w:szCs w:val="18"/>
          <w:lang w:val="en-GB" w:eastAsia="cs-CZ"/>
        </w:rPr>
        <w:t xml:space="preserve">, </w:t>
      </w:r>
      <w:r>
        <w:rPr>
          <w:rFonts w:cs="Arial"/>
          <w:sz w:val="18"/>
          <w:szCs w:val="18"/>
          <w:lang w:val="en-GB" w:eastAsia="cs-CZ"/>
        </w:rPr>
        <w:t>capital market transactions</w:t>
      </w:r>
      <w:r w:rsidR="002B5B60" w:rsidRPr="00AF1E17">
        <w:rPr>
          <w:rFonts w:cs="Arial"/>
          <w:sz w:val="18"/>
          <w:szCs w:val="18"/>
          <w:lang w:val="en-GB" w:eastAsia="cs-CZ"/>
        </w:rPr>
        <w:t xml:space="preserve">, </w:t>
      </w:r>
      <w:r>
        <w:rPr>
          <w:rFonts w:cs="Arial"/>
          <w:sz w:val="18"/>
          <w:szCs w:val="18"/>
          <w:lang w:val="en-GB" w:eastAsia="cs-CZ"/>
        </w:rPr>
        <w:t>licence acquisitions</w:t>
      </w:r>
      <w:r w:rsidR="002B5B60" w:rsidRPr="00AF1E17">
        <w:rPr>
          <w:rFonts w:cs="Arial"/>
          <w:sz w:val="18"/>
          <w:szCs w:val="18"/>
          <w:lang w:val="en-GB" w:eastAsia="cs-CZ"/>
        </w:rPr>
        <w:t>, joint-venture</w:t>
      </w:r>
      <w:r>
        <w:rPr>
          <w:rFonts w:cs="Arial"/>
          <w:sz w:val="18"/>
          <w:szCs w:val="18"/>
          <w:lang w:val="en-GB" w:eastAsia="cs-CZ"/>
        </w:rPr>
        <w:t xml:space="preserve"> agreements</w:t>
      </w:r>
      <w:r w:rsidR="002B5B60" w:rsidRPr="00AF1E17">
        <w:rPr>
          <w:rFonts w:cs="Arial"/>
          <w:sz w:val="18"/>
          <w:szCs w:val="18"/>
          <w:lang w:val="en-GB" w:eastAsia="cs-CZ"/>
        </w:rPr>
        <w:t xml:space="preserve">, </w:t>
      </w:r>
      <w:proofErr w:type="gramStart"/>
      <w:r>
        <w:rPr>
          <w:rFonts w:cs="Arial"/>
          <w:sz w:val="18"/>
          <w:szCs w:val="18"/>
          <w:lang w:val="en-GB" w:eastAsia="cs-CZ"/>
        </w:rPr>
        <w:t>greenfield</w:t>
      </w:r>
      <w:proofErr w:type="gramEnd"/>
      <w:r>
        <w:rPr>
          <w:rFonts w:cs="Arial"/>
          <w:sz w:val="18"/>
          <w:szCs w:val="18"/>
          <w:lang w:val="en-GB" w:eastAsia="cs-CZ"/>
        </w:rPr>
        <w:t xml:space="preserve"> investment projects</w:t>
      </w:r>
      <w:r w:rsidR="002C2677">
        <w:rPr>
          <w:rFonts w:cs="Arial"/>
          <w:sz w:val="18"/>
          <w:szCs w:val="18"/>
          <w:lang w:val="en-GB" w:eastAsia="cs-CZ"/>
        </w:rPr>
        <w:t xml:space="preserve"> and privatisations</w:t>
      </w:r>
      <w:r w:rsidR="002B5B60" w:rsidRPr="00AF1E17">
        <w:rPr>
          <w:rFonts w:cs="Arial"/>
          <w:sz w:val="18"/>
          <w:szCs w:val="18"/>
          <w:lang w:val="en-GB" w:eastAsia="cs-CZ"/>
        </w:rPr>
        <w:t>.</w:t>
      </w:r>
    </w:p>
    <w:p w:rsidR="002B5B60" w:rsidRDefault="002B5B60" w:rsidP="002B5B60">
      <w:pPr>
        <w:autoSpaceDE w:val="0"/>
        <w:autoSpaceDN w:val="0"/>
        <w:adjustRightInd w:val="0"/>
        <w:rPr>
          <w:rFonts w:cs="Arial"/>
          <w:kern w:val="12"/>
          <w:sz w:val="18"/>
          <w:szCs w:val="18"/>
          <w:lang w:val="en-GB"/>
        </w:rPr>
      </w:pPr>
    </w:p>
    <w:p w:rsidR="00BD1D9A" w:rsidRDefault="00BD1D9A" w:rsidP="002B5B60">
      <w:pPr>
        <w:autoSpaceDE w:val="0"/>
        <w:autoSpaceDN w:val="0"/>
        <w:adjustRightInd w:val="0"/>
        <w:rPr>
          <w:rFonts w:cs="Arial"/>
          <w:kern w:val="12"/>
          <w:sz w:val="18"/>
          <w:szCs w:val="18"/>
          <w:lang w:val="en-GB"/>
        </w:rPr>
      </w:pPr>
    </w:p>
    <w:p w:rsidR="00BD1D9A" w:rsidRDefault="00BD1D9A" w:rsidP="002B5B60">
      <w:pPr>
        <w:autoSpaceDE w:val="0"/>
        <w:autoSpaceDN w:val="0"/>
        <w:adjustRightInd w:val="0"/>
        <w:rPr>
          <w:rFonts w:cs="Arial"/>
          <w:kern w:val="12"/>
          <w:sz w:val="18"/>
          <w:szCs w:val="18"/>
          <w:lang w:val="en-GB"/>
        </w:rPr>
      </w:pPr>
    </w:p>
    <w:p w:rsidR="00BD1D9A" w:rsidRPr="00111B27" w:rsidRDefault="00BD1D9A" w:rsidP="00BD1D9A">
      <w:pPr>
        <w:spacing w:line="360" w:lineRule="auto"/>
        <w:rPr>
          <w:rFonts w:cs="Arial"/>
          <w:b/>
          <w:bCs/>
          <w:sz w:val="18"/>
          <w:szCs w:val="18"/>
        </w:rPr>
      </w:pPr>
      <w:r w:rsidRPr="00111B27">
        <w:rPr>
          <w:rFonts w:cs="Arial"/>
          <w:b/>
          <w:bCs/>
          <w:sz w:val="18"/>
          <w:szCs w:val="18"/>
        </w:rPr>
        <w:lastRenderedPageBreak/>
        <w:t>About EY</w:t>
      </w:r>
    </w:p>
    <w:p w:rsidR="00BD1D9A" w:rsidRPr="002B7605" w:rsidRDefault="00BD1D9A" w:rsidP="00BD1D9A">
      <w:pPr>
        <w:rPr>
          <w:rFonts w:cs="Arial"/>
          <w:sz w:val="18"/>
          <w:szCs w:val="18"/>
          <w:lang w:eastAsia="sv-SE"/>
        </w:rPr>
      </w:pPr>
      <w:r w:rsidRPr="002B7605">
        <w:rPr>
          <w:rFonts w:cs="Arial"/>
          <w:sz w:val="18"/>
          <w:szCs w:val="18"/>
          <w:lang w:eastAsia="sv-SE"/>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rsidR="00BD1D9A" w:rsidRPr="002B7605" w:rsidRDefault="00BD1D9A" w:rsidP="00BD1D9A">
      <w:pPr>
        <w:rPr>
          <w:rFonts w:cs="Arial"/>
          <w:sz w:val="18"/>
          <w:szCs w:val="18"/>
          <w:lang w:eastAsia="sv-SE"/>
        </w:rPr>
      </w:pPr>
    </w:p>
    <w:p w:rsidR="00BD1D9A" w:rsidRPr="00BD1D9A" w:rsidRDefault="00BD1D9A" w:rsidP="00BD1D9A">
      <w:pPr>
        <w:rPr>
          <w:rFonts w:cs="Arial"/>
          <w:i/>
          <w:sz w:val="18"/>
          <w:szCs w:val="18"/>
          <w:lang w:eastAsia="sv-SE"/>
        </w:rPr>
      </w:pPr>
      <w:r w:rsidRPr="00BD1D9A">
        <w:rPr>
          <w:rFonts w:cs="Arial"/>
          <w:i/>
          <w:sz w:val="18"/>
          <w:szCs w:val="18"/>
          <w:lang w:eastAsia="sv-SE"/>
        </w:rPr>
        <w:t>EY refers to the global organization, and may refer to one or more, of the member firms of Ernst &amp; Young Global Limited, each of which is a separate legal entity. Ernst &amp; Young Global Limited, a UK company limited by guarantee, does not provide services to clients. For more information about our organization, please visit ey.com/CZ.</w:t>
      </w:r>
    </w:p>
    <w:p w:rsidR="00BD1D9A" w:rsidRPr="00BD1D9A" w:rsidRDefault="00BD1D9A" w:rsidP="002B5B60">
      <w:pPr>
        <w:autoSpaceDE w:val="0"/>
        <w:autoSpaceDN w:val="0"/>
        <w:adjustRightInd w:val="0"/>
        <w:rPr>
          <w:rFonts w:cs="Arial"/>
          <w:i/>
          <w:kern w:val="12"/>
          <w:sz w:val="18"/>
          <w:szCs w:val="18"/>
          <w:lang w:val="en-GB"/>
        </w:rPr>
      </w:pPr>
    </w:p>
    <w:sectPr w:rsidR="00BD1D9A" w:rsidRPr="00BD1D9A" w:rsidSect="00665A20">
      <w:headerReference w:type="default" r:id="rId8"/>
      <w:headerReference w:type="first" r:id="rId9"/>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81" w:rsidRDefault="00864181">
      <w:r>
        <w:separator/>
      </w:r>
    </w:p>
  </w:endnote>
  <w:endnote w:type="continuationSeparator" w:id="0">
    <w:p w:rsidR="00864181" w:rsidRDefault="0086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EYInterstate">
    <w:panose1 w:val="02000503020000020004"/>
    <w:charset w:val="EE"/>
    <w:family w:val="auto"/>
    <w:pitch w:val="variable"/>
    <w:sig w:usb0="A00002AF"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EYInterstate-Ligh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81" w:rsidRDefault="00864181">
      <w:r>
        <w:separator/>
      </w:r>
    </w:p>
  </w:footnote>
  <w:footnote w:type="continuationSeparator" w:id="0">
    <w:p w:rsidR="00864181" w:rsidRDefault="00864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75" w:rsidRDefault="00777DA2" w:rsidP="00FC6AEB">
    <w:pPr>
      <w:pStyle w:val="Header"/>
    </w:pPr>
    <w:r>
      <w:rPr>
        <w:noProof/>
        <w:lang w:val="cs-CZ" w:eastAsia="cs-CZ"/>
      </w:rPr>
      <mc:AlternateContent>
        <mc:Choice Requires="wps">
          <w:drawing>
            <wp:anchor distT="0" distB="0" distL="114300" distR="114300" simplePos="0" relativeHeight="251658752" behindDoc="0" locked="0" layoutInCell="1" allowOverlap="1">
              <wp:simplePos x="0" y="0"/>
              <wp:positionH relativeFrom="page">
                <wp:posOffset>5403850</wp:posOffset>
              </wp:positionH>
              <wp:positionV relativeFrom="page">
                <wp:posOffset>403225</wp:posOffset>
              </wp:positionV>
              <wp:extent cx="1800225" cy="617855"/>
              <wp:effectExtent l="0" t="0" r="9525" b="1079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E75" w:rsidRDefault="00286E75" w:rsidP="002C3F79">
                          <w:pPr>
                            <w:pStyle w:val="EYContinuationheader"/>
                            <w:jc w:val="right"/>
                          </w:pPr>
                          <w:r>
                            <w:t xml:space="preserve">Page </w:t>
                          </w:r>
                          <w:r w:rsidR="006F17C3">
                            <w:fldChar w:fldCharType="begin"/>
                          </w:r>
                          <w:r>
                            <w:instrText xml:space="preserve"> PAGE  \* Arabic  \* MERGEFORMAT </w:instrText>
                          </w:r>
                          <w:r w:rsidR="006F17C3">
                            <w:fldChar w:fldCharType="separate"/>
                          </w:r>
                          <w:r w:rsidR="00A52523">
                            <w:rPr>
                              <w:noProof/>
                            </w:rPr>
                            <w:t>2</w:t>
                          </w:r>
                          <w:r w:rsidR="006F17C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25.5pt;margin-top:31.75pt;width:141.75pt;height:4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bTrg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" filled="f" stroked="f">
              <v:textbox inset="0,0,0,0">
                <w:txbxContent>
                  <w:p w:rsidR="00286E75" w:rsidRDefault="00286E75" w:rsidP="002C3F79">
                    <w:pPr>
                      <w:pStyle w:val="EYContinuationheader"/>
                      <w:jc w:val="right"/>
                    </w:pPr>
                    <w:r>
                      <w:t xml:space="preserve">Page </w:t>
                    </w:r>
                    <w:r w:rsidR="006F17C3">
                      <w:fldChar w:fldCharType="begin"/>
                    </w:r>
                    <w:r>
                      <w:instrText xml:space="preserve"> PAGE  \* Arabic  \* MERGEFORMAT </w:instrText>
                    </w:r>
                    <w:r w:rsidR="006F17C3">
                      <w:fldChar w:fldCharType="separate"/>
                    </w:r>
                    <w:r w:rsidR="00A52523">
                      <w:rPr>
                        <w:noProof/>
                      </w:rPr>
                      <w:t>2</w:t>
                    </w:r>
                    <w:r w:rsidR="006F17C3">
                      <w:rPr>
                        <w:noProof/>
                      </w:rPr>
                      <w:fldChar w:fldCharType="end"/>
                    </w:r>
                  </w:p>
                </w:txbxContent>
              </v:textbox>
              <w10:wrap type="square" anchorx="page" anchory="page"/>
            </v:shape>
          </w:pict>
        </mc:Fallback>
      </mc:AlternateContent>
    </w:r>
    <w:r w:rsidR="00286E75">
      <w:rPr>
        <w:noProof/>
        <w:lang w:val="cs-CZ" w:eastAsia="cs-CZ"/>
      </w:rPr>
      <w:drawing>
        <wp:anchor distT="0" distB="0" distL="114300" distR="114300" simplePos="0" relativeHeight="251657728" behindDoc="0" locked="1" layoutInCell="1" allowOverlap="1">
          <wp:simplePos x="0" y="0"/>
          <wp:positionH relativeFrom="page">
            <wp:posOffset>845820</wp:posOffset>
          </wp:positionH>
          <wp:positionV relativeFrom="page">
            <wp:posOffset>168910</wp:posOffset>
          </wp:positionV>
          <wp:extent cx="889000" cy="10223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10223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75" w:rsidRDefault="00286E75">
    <w:pPr>
      <w:pStyle w:val="Header"/>
    </w:pPr>
    <w:r>
      <w:rPr>
        <w:noProof/>
        <w:lang w:val="cs-CZ" w:eastAsia="cs-CZ"/>
      </w:rPr>
      <w:drawing>
        <wp:anchor distT="0" distB="0" distL="114300" distR="114300" simplePos="0" relativeHeight="251656704" behindDoc="0" locked="1" layoutInCell="1" allowOverlap="1">
          <wp:simplePos x="0" y="0"/>
          <wp:positionH relativeFrom="page">
            <wp:posOffset>847725</wp:posOffset>
          </wp:positionH>
          <wp:positionV relativeFrom="page">
            <wp:posOffset>169545</wp:posOffset>
          </wp:positionV>
          <wp:extent cx="887730" cy="1021080"/>
          <wp:effectExtent l="0" t="0" r="7620" b="762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730" cy="10210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4796"/>
    <w:multiLevelType w:val="hybridMultilevel"/>
    <w:tmpl w:val="18ACD740"/>
    <w:lvl w:ilvl="0" w:tplc="0902D53C">
      <w:start w:val="1"/>
      <w:numFmt w:val="bullet"/>
      <w:lvlText w:val="►"/>
      <w:lvlJc w:val="left"/>
      <w:pPr>
        <w:ind w:left="720" w:hanging="360"/>
      </w:pPr>
      <w:rPr>
        <w:rFonts w:ascii="Arial" w:hAnsi="Arial" w:hint="default"/>
        <w:caps w:val="0"/>
        <w:strike w:val="0"/>
        <w:dstrike w:val="0"/>
        <w:vanish w:val="0"/>
        <w:color w:val="FFFF00"/>
        <w:sz w:val="16"/>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CE0432"/>
    <w:multiLevelType w:val="hybridMultilevel"/>
    <w:tmpl w:val="67B2A610"/>
    <w:lvl w:ilvl="0" w:tplc="A5120EE4">
      <w:start w:val="2"/>
      <w:numFmt w:val="bullet"/>
      <w:lvlText w:val=""/>
      <w:lvlJc w:val="left"/>
      <w:pPr>
        <w:ind w:left="720" w:hanging="360"/>
      </w:pPr>
      <w:rPr>
        <w:rFonts w:ascii="Wingdings 3" w:eastAsia="Times New Roman" w:hAnsi="Wingdings 3" w:hint="default"/>
        <w:caps w:val="0"/>
        <w:strike w:val="0"/>
        <w:dstrike w:val="0"/>
        <w:vanish w:val="0"/>
        <w:color w:val="000000"/>
        <w:sz w:val="16"/>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F833AA"/>
    <w:multiLevelType w:val="hybridMultilevel"/>
    <w:tmpl w:val="D082AC24"/>
    <w:lvl w:ilvl="0" w:tplc="F872BD40">
      <w:start w:val="1"/>
      <w:numFmt w:val="bullet"/>
      <w:pStyle w:val="EYBulletedtext2"/>
      <w:lvlText w:val="►"/>
      <w:lvlJc w:val="left"/>
      <w:pPr>
        <w:ind w:left="649" w:hanging="360"/>
      </w:pPr>
      <w:rPr>
        <w:rFonts w:ascii="Arial" w:hAnsi="Arial" w:hint="default"/>
        <w:color w:val="FFE6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E06A58"/>
    <w:multiLevelType w:val="hybridMultilevel"/>
    <w:tmpl w:val="199CEF1A"/>
    <w:lvl w:ilvl="0" w:tplc="0902D53C">
      <w:start w:val="1"/>
      <w:numFmt w:val="bullet"/>
      <w:lvlText w:val="►"/>
      <w:lvlJc w:val="left"/>
      <w:pPr>
        <w:ind w:left="720" w:hanging="360"/>
      </w:pPr>
      <w:rPr>
        <w:rFonts w:ascii="Arial" w:hAnsi="Arial" w:hint="default"/>
        <w:caps w:val="0"/>
        <w:strike w:val="0"/>
        <w:dstrike w:val="0"/>
        <w:vanish w:val="0"/>
        <w:color w:val="FFFF00"/>
        <w:sz w:val="16"/>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574555"/>
    <w:multiLevelType w:val="hybridMultilevel"/>
    <w:tmpl w:val="A0BE351C"/>
    <w:lvl w:ilvl="0" w:tplc="4E881254">
      <w:start w:val="1"/>
      <w:numFmt w:val="bullet"/>
      <w:lvlText w:val="►"/>
      <w:lvlJc w:val="left"/>
      <w:pPr>
        <w:ind w:left="360" w:hanging="360"/>
      </w:pPr>
      <w:rPr>
        <w:rFonts w:ascii="Arial" w:hAnsi="Arial" w:hint="default"/>
        <w:color w:val="FFE60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7F12913"/>
    <w:multiLevelType w:val="hybridMultilevel"/>
    <w:tmpl w:val="61A68C3E"/>
    <w:lvl w:ilvl="0" w:tplc="AF8877C0">
      <w:start w:val="1"/>
      <w:numFmt w:val="bullet"/>
      <w:pStyle w:val="EYBulletedtext1"/>
      <w:lvlText w:val="•"/>
      <w:lvlJc w:val="left"/>
      <w:pPr>
        <w:ind w:left="360" w:hanging="360"/>
      </w:pPr>
      <w:rPr>
        <w:rFonts w:ascii="EYInterstate" w:hAnsi="EYInterstate" w:hint="default"/>
        <w:color w:val="FFE6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6525D1"/>
    <w:multiLevelType w:val="hybridMultilevel"/>
    <w:tmpl w:val="63760BF2"/>
    <w:lvl w:ilvl="0" w:tplc="D8586854">
      <w:start w:val="1"/>
      <w:numFmt w:val="bullet"/>
      <w:lvlText w:val="►"/>
      <w:lvlJc w:val="left"/>
      <w:pPr>
        <w:ind w:left="360" w:hanging="360"/>
      </w:pPr>
      <w:rPr>
        <w:rFonts w:ascii="Arial" w:hAnsi="Arial" w:hint="default"/>
        <w:color w:val="FFE6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3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16"/>
    <w:rsid w:val="00000067"/>
    <w:rsid w:val="0000173C"/>
    <w:rsid w:val="00002184"/>
    <w:rsid w:val="000065EA"/>
    <w:rsid w:val="0000685B"/>
    <w:rsid w:val="00007EFC"/>
    <w:rsid w:val="00010795"/>
    <w:rsid w:val="00012E3A"/>
    <w:rsid w:val="000131DE"/>
    <w:rsid w:val="00013D43"/>
    <w:rsid w:val="00013DD5"/>
    <w:rsid w:val="000144AA"/>
    <w:rsid w:val="00014A56"/>
    <w:rsid w:val="0001548A"/>
    <w:rsid w:val="00016EDE"/>
    <w:rsid w:val="00020CFA"/>
    <w:rsid w:val="00021206"/>
    <w:rsid w:val="00021353"/>
    <w:rsid w:val="00021DAB"/>
    <w:rsid w:val="00022442"/>
    <w:rsid w:val="00023594"/>
    <w:rsid w:val="00023989"/>
    <w:rsid w:val="000241D1"/>
    <w:rsid w:val="000243FD"/>
    <w:rsid w:val="000260F3"/>
    <w:rsid w:val="000274CD"/>
    <w:rsid w:val="00031296"/>
    <w:rsid w:val="00032D56"/>
    <w:rsid w:val="0003311F"/>
    <w:rsid w:val="000334A3"/>
    <w:rsid w:val="00034463"/>
    <w:rsid w:val="000377F2"/>
    <w:rsid w:val="00037DF7"/>
    <w:rsid w:val="00040974"/>
    <w:rsid w:val="00042886"/>
    <w:rsid w:val="000429DE"/>
    <w:rsid w:val="00042B5D"/>
    <w:rsid w:val="00042E61"/>
    <w:rsid w:val="000434DD"/>
    <w:rsid w:val="000502D6"/>
    <w:rsid w:val="00050B52"/>
    <w:rsid w:val="00050E8F"/>
    <w:rsid w:val="000513C4"/>
    <w:rsid w:val="00052463"/>
    <w:rsid w:val="00053536"/>
    <w:rsid w:val="00053788"/>
    <w:rsid w:val="00055ABE"/>
    <w:rsid w:val="00056E74"/>
    <w:rsid w:val="000578A8"/>
    <w:rsid w:val="00060C2A"/>
    <w:rsid w:val="000618F6"/>
    <w:rsid w:val="000619B3"/>
    <w:rsid w:val="00062497"/>
    <w:rsid w:val="0006291A"/>
    <w:rsid w:val="00062AA4"/>
    <w:rsid w:val="00067975"/>
    <w:rsid w:val="00067E16"/>
    <w:rsid w:val="00070132"/>
    <w:rsid w:val="000707D8"/>
    <w:rsid w:val="00071CDA"/>
    <w:rsid w:val="00072938"/>
    <w:rsid w:val="000734FD"/>
    <w:rsid w:val="0007414D"/>
    <w:rsid w:val="00075161"/>
    <w:rsid w:val="00075263"/>
    <w:rsid w:val="00075B3F"/>
    <w:rsid w:val="00077534"/>
    <w:rsid w:val="00081455"/>
    <w:rsid w:val="00082185"/>
    <w:rsid w:val="00082C48"/>
    <w:rsid w:val="00083B94"/>
    <w:rsid w:val="00084140"/>
    <w:rsid w:val="0008505F"/>
    <w:rsid w:val="00085CA2"/>
    <w:rsid w:val="00086FE8"/>
    <w:rsid w:val="00087488"/>
    <w:rsid w:val="000907D9"/>
    <w:rsid w:val="00090F00"/>
    <w:rsid w:val="0009241D"/>
    <w:rsid w:val="0009349A"/>
    <w:rsid w:val="00094659"/>
    <w:rsid w:val="00094D04"/>
    <w:rsid w:val="00095485"/>
    <w:rsid w:val="00095595"/>
    <w:rsid w:val="00096D58"/>
    <w:rsid w:val="00097A84"/>
    <w:rsid w:val="000A1A41"/>
    <w:rsid w:val="000A1BBA"/>
    <w:rsid w:val="000A3550"/>
    <w:rsid w:val="000A54EA"/>
    <w:rsid w:val="000B09D9"/>
    <w:rsid w:val="000B3705"/>
    <w:rsid w:val="000B4D8F"/>
    <w:rsid w:val="000B4E27"/>
    <w:rsid w:val="000B5139"/>
    <w:rsid w:val="000B52B8"/>
    <w:rsid w:val="000B5BD7"/>
    <w:rsid w:val="000B70AF"/>
    <w:rsid w:val="000C097C"/>
    <w:rsid w:val="000C1D27"/>
    <w:rsid w:val="000C1EDB"/>
    <w:rsid w:val="000C2495"/>
    <w:rsid w:val="000C3A75"/>
    <w:rsid w:val="000C5D7F"/>
    <w:rsid w:val="000C6589"/>
    <w:rsid w:val="000C69EA"/>
    <w:rsid w:val="000C7736"/>
    <w:rsid w:val="000C7D1B"/>
    <w:rsid w:val="000D27AE"/>
    <w:rsid w:val="000D2D03"/>
    <w:rsid w:val="000D3FB1"/>
    <w:rsid w:val="000D62CD"/>
    <w:rsid w:val="000D6449"/>
    <w:rsid w:val="000D6CC6"/>
    <w:rsid w:val="000D72C6"/>
    <w:rsid w:val="000D7573"/>
    <w:rsid w:val="000E1550"/>
    <w:rsid w:val="000E1ABF"/>
    <w:rsid w:val="000E204C"/>
    <w:rsid w:val="000E46B8"/>
    <w:rsid w:val="000E524E"/>
    <w:rsid w:val="000E6017"/>
    <w:rsid w:val="000E7077"/>
    <w:rsid w:val="000E7CBE"/>
    <w:rsid w:val="000E7E0A"/>
    <w:rsid w:val="000F195D"/>
    <w:rsid w:val="000F56D5"/>
    <w:rsid w:val="000F5D5D"/>
    <w:rsid w:val="000F5DD0"/>
    <w:rsid w:val="000F73C4"/>
    <w:rsid w:val="001001ED"/>
    <w:rsid w:val="00100753"/>
    <w:rsid w:val="001016BF"/>
    <w:rsid w:val="00101A5F"/>
    <w:rsid w:val="001025E1"/>
    <w:rsid w:val="0010332B"/>
    <w:rsid w:val="00104C52"/>
    <w:rsid w:val="001060DE"/>
    <w:rsid w:val="00110D63"/>
    <w:rsid w:val="00110FD2"/>
    <w:rsid w:val="001150BB"/>
    <w:rsid w:val="001157A2"/>
    <w:rsid w:val="001158BC"/>
    <w:rsid w:val="00116CA3"/>
    <w:rsid w:val="00121C89"/>
    <w:rsid w:val="0012236B"/>
    <w:rsid w:val="00123667"/>
    <w:rsid w:val="00125B4E"/>
    <w:rsid w:val="00125BEF"/>
    <w:rsid w:val="00127654"/>
    <w:rsid w:val="0013136F"/>
    <w:rsid w:val="001344ED"/>
    <w:rsid w:val="00134E1F"/>
    <w:rsid w:val="0013701E"/>
    <w:rsid w:val="00137E0B"/>
    <w:rsid w:val="00137F85"/>
    <w:rsid w:val="00140880"/>
    <w:rsid w:val="001412D6"/>
    <w:rsid w:val="00142B26"/>
    <w:rsid w:val="0014309E"/>
    <w:rsid w:val="001430AC"/>
    <w:rsid w:val="0014373B"/>
    <w:rsid w:val="00143B65"/>
    <w:rsid w:val="001461A9"/>
    <w:rsid w:val="001465D7"/>
    <w:rsid w:val="00147A16"/>
    <w:rsid w:val="00150066"/>
    <w:rsid w:val="00151130"/>
    <w:rsid w:val="001521C0"/>
    <w:rsid w:val="00153F8E"/>
    <w:rsid w:val="001547E7"/>
    <w:rsid w:val="00154F9A"/>
    <w:rsid w:val="0015716A"/>
    <w:rsid w:val="0016069C"/>
    <w:rsid w:val="00160F8C"/>
    <w:rsid w:val="00164129"/>
    <w:rsid w:val="00166EA6"/>
    <w:rsid w:val="0017485F"/>
    <w:rsid w:val="00174A0E"/>
    <w:rsid w:val="0017536C"/>
    <w:rsid w:val="00175757"/>
    <w:rsid w:val="001772A7"/>
    <w:rsid w:val="001772B8"/>
    <w:rsid w:val="0017789F"/>
    <w:rsid w:val="00183B7B"/>
    <w:rsid w:val="001843AE"/>
    <w:rsid w:val="001847C5"/>
    <w:rsid w:val="001849C2"/>
    <w:rsid w:val="0018711D"/>
    <w:rsid w:val="00187992"/>
    <w:rsid w:val="00193C6F"/>
    <w:rsid w:val="00195C92"/>
    <w:rsid w:val="0019652D"/>
    <w:rsid w:val="0019677A"/>
    <w:rsid w:val="001968E3"/>
    <w:rsid w:val="00196E73"/>
    <w:rsid w:val="00196EC9"/>
    <w:rsid w:val="001A0702"/>
    <w:rsid w:val="001A0EBA"/>
    <w:rsid w:val="001A321F"/>
    <w:rsid w:val="001A3599"/>
    <w:rsid w:val="001A3809"/>
    <w:rsid w:val="001A4F4E"/>
    <w:rsid w:val="001A5264"/>
    <w:rsid w:val="001A56BB"/>
    <w:rsid w:val="001B0DB7"/>
    <w:rsid w:val="001B176E"/>
    <w:rsid w:val="001B658B"/>
    <w:rsid w:val="001B6DE6"/>
    <w:rsid w:val="001B7DF7"/>
    <w:rsid w:val="001C017C"/>
    <w:rsid w:val="001C174D"/>
    <w:rsid w:val="001C46AF"/>
    <w:rsid w:val="001C6F7A"/>
    <w:rsid w:val="001C77CD"/>
    <w:rsid w:val="001C7859"/>
    <w:rsid w:val="001C7EAD"/>
    <w:rsid w:val="001D109F"/>
    <w:rsid w:val="001D1D2D"/>
    <w:rsid w:val="001D2E0D"/>
    <w:rsid w:val="001D49F6"/>
    <w:rsid w:val="001D4FFD"/>
    <w:rsid w:val="001D607C"/>
    <w:rsid w:val="001D70FD"/>
    <w:rsid w:val="001E20D0"/>
    <w:rsid w:val="001E23E8"/>
    <w:rsid w:val="001E334C"/>
    <w:rsid w:val="001E40DA"/>
    <w:rsid w:val="001F124B"/>
    <w:rsid w:val="001F1C3B"/>
    <w:rsid w:val="001F3553"/>
    <w:rsid w:val="001F4B35"/>
    <w:rsid w:val="001F5931"/>
    <w:rsid w:val="001F5D21"/>
    <w:rsid w:val="00203152"/>
    <w:rsid w:val="00210A59"/>
    <w:rsid w:val="00213E71"/>
    <w:rsid w:val="00216542"/>
    <w:rsid w:val="0021735E"/>
    <w:rsid w:val="00217F42"/>
    <w:rsid w:val="0022133E"/>
    <w:rsid w:val="002225EB"/>
    <w:rsid w:val="00223391"/>
    <w:rsid w:val="00224214"/>
    <w:rsid w:val="00224679"/>
    <w:rsid w:val="00224A43"/>
    <w:rsid w:val="00226F20"/>
    <w:rsid w:val="00226FC1"/>
    <w:rsid w:val="00227AEC"/>
    <w:rsid w:val="00227E27"/>
    <w:rsid w:val="00231206"/>
    <w:rsid w:val="002346BA"/>
    <w:rsid w:val="00234863"/>
    <w:rsid w:val="00236E10"/>
    <w:rsid w:val="0024096C"/>
    <w:rsid w:val="0024135E"/>
    <w:rsid w:val="002420FE"/>
    <w:rsid w:val="00243F74"/>
    <w:rsid w:val="0024448B"/>
    <w:rsid w:val="00251FED"/>
    <w:rsid w:val="00254A4F"/>
    <w:rsid w:val="00254AE6"/>
    <w:rsid w:val="00255643"/>
    <w:rsid w:val="00255F22"/>
    <w:rsid w:val="002561F4"/>
    <w:rsid w:val="00260238"/>
    <w:rsid w:val="00260B0D"/>
    <w:rsid w:val="0026111E"/>
    <w:rsid w:val="0026305C"/>
    <w:rsid w:val="002636B4"/>
    <w:rsid w:val="00264779"/>
    <w:rsid w:val="002656B4"/>
    <w:rsid w:val="00267827"/>
    <w:rsid w:val="00270CCE"/>
    <w:rsid w:val="002711F3"/>
    <w:rsid w:val="00271AA5"/>
    <w:rsid w:val="002728F1"/>
    <w:rsid w:val="0027307E"/>
    <w:rsid w:val="00277F93"/>
    <w:rsid w:val="002837FE"/>
    <w:rsid w:val="00283A60"/>
    <w:rsid w:val="00284E5C"/>
    <w:rsid w:val="00285589"/>
    <w:rsid w:val="0028692E"/>
    <w:rsid w:val="002869F3"/>
    <w:rsid w:val="00286E75"/>
    <w:rsid w:val="00287AF1"/>
    <w:rsid w:val="002929B8"/>
    <w:rsid w:val="00294327"/>
    <w:rsid w:val="00295B22"/>
    <w:rsid w:val="00295E8F"/>
    <w:rsid w:val="00297A85"/>
    <w:rsid w:val="00297CE6"/>
    <w:rsid w:val="00297CF1"/>
    <w:rsid w:val="002A0504"/>
    <w:rsid w:val="002A1FED"/>
    <w:rsid w:val="002A3063"/>
    <w:rsid w:val="002A3EB5"/>
    <w:rsid w:val="002A46D7"/>
    <w:rsid w:val="002A4B17"/>
    <w:rsid w:val="002A4EB6"/>
    <w:rsid w:val="002A51A4"/>
    <w:rsid w:val="002A7114"/>
    <w:rsid w:val="002B071C"/>
    <w:rsid w:val="002B0FDE"/>
    <w:rsid w:val="002B2937"/>
    <w:rsid w:val="002B5B60"/>
    <w:rsid w:val="002B65A9"/>
    <w:rsid w:val="002B7587"/>
    <w:rsid w:val="002B759C"/>
    <w:rsid w:val="002B7765"/>
    <w:rsid w:val="002C13FF"/>
    <w:rsid w:val="002C1FE5"/>
    <w:rsid w:val="002C2677"/>
    <w:rsid w:val="002C3334"/>
    <w:rsid w:val="002C3F79"/>
    <w:rsid w:val="002C6E05"/>
    <w:rsid w:val="002C72B1"/>
    <w:rsid w:val="002D0C6D"/>
    <w:rsid w:val="002D295E"/>
    <w:rsid w:val="002D32CE"/>
    <w:rsid w:val="002D3875"/>
    <w:rsid w:val="002D4213"/>
    <w:rsid w:val="002D43FE"/>
    <w:rsid w:val="002D7E42"/>
    <w:rsid w:val="002E044B"/>
    <w:rsid w:val="002E16CB"/>
    <w:rsid w:val="002E180A"/>
    <w:rsid w:val="002E2809"/>
    <w:rsid w:val="002E425F"/>
    <w:rsid w:val="002F28AB"/>
    <w:rsid w:val="002F3D15"/>
    <w:rsid w:val="002F547D"/>
    <w:rsid w:val="002F6BB6"/>
    <w:rsid w:val="00300EFA"/>
    <w:rsid w:val="003018FD"/>
    <w:rsid w:val="003031AB"/>
    <w:rsid w:val="00303F47"/>
    <w:rsid w:val="003047EE"/>
    <w:rsid w:val="003047FE"/>
    <w:rsid w:val="00305C5B"/>
    <w:rsid w:val="0030659C"/>
    <w:rsid w:val="00306CED"/>
    <w:rsid w:val="00306E64"/>
    <w:rsid w:val="003071B0"/>
    <w:rsid w:val="00310FAE"/>
    <w:rsid w:val="00311822"/>
    <w:rsid w:val="00312881"/>
    <w:rsid w:val="00314342"/>
    <w:rsid w:val="00316CA4"/>
    <w:rsid w:val="003179BD"/>
    <w:rsid w:val="003212B3"/>
    <w:rsid w:val="00324775"/>
    <w:rsid w:val="003248AC"/>
    <w:rsid w:val="003255C2"/>
    <w:rsid w:val="0032615A"/>
    <w:rsid w:val="003273B8"/>
    <w:rsid w:val="003273D0"/>
    <w:rsid w:val="00327AF3"/>
    <w:rsid w:val="003307EB"/>
    <w:rsid w:val="00330A04"/>
    <w:rsid w:val="00331054"/>
    <w:rsid w:val="00333425"/>
    <w:rsid w:val="003335FE"/>
    <w:rsid w:val="003338C0"/>
    <w:rsid w:val="00335C05"/>
    <w:rsid w:val="00336480"/>
    <w:rsid w:val="003366F4"/>
    <w:rsid w:val="0034108E"/>
    <w:rsid w:val="00341EAB"/>
    <w:rsid w:val="0034417E"/>
    <w:rsid w:val="00345A8F"/>
    <w:rsid w:val="003467B0"/>
    <w:rsid w:val="003473D3"/>
    <w:rsid w:val="003474F8"/>
    <w:rsid w:val="00353559"/>
    <w:rsid w:val="003545AB"/>
    <w:rsid w:val="00355278"/>
    <w:rsid w:val="00356658"/>
    <w:rsid w:val="0036047F"/>
    <w:rsid w:val="00360C58"/>
    <w:rsid w:val="0036192C"/>
    <w:rsid w:val="00365964"/>
    <w:rsid w:val="00366CD7"/>
    <w:rsid w:val="00370E91"/>
    <w:rsid w:val="00371788"/>
    <w:rsid w:val="00372B29"/>
    <w:rsid w:val="0037341F"/>
    <w:rsid w:val="00373D0B"/>
    <w:rsid w:val="00376C84"/>
    <w:rsid w:val="00377376"/>
    <w:rsid w:val="003823AD"/>
    <w:rsid w:val="00383438"/>
    <w:rsid w:val="003834BB"/>
    <w:rsid w:val="00383879"/>
    <w:rsid w:val="00384A6D"/>
    <w:rsid w:val="00385C93"/>
    <w:rsid w:val="00387D13"/>
    <w:rsid w:val="0039058A"/>
    <w:rsid w:val="00391F3D"/>
    <w:rsid w:val="00394AA8"/>
    <w:rsid w:val="003965DA"/>
    <w:rsid w:val="00396CB5"/>
    <w:rsid w:val="00397D84"/>
    <w:rsid w:val="003A0CED"/>
    <w:rsid w:val="003A23DD"/>
    <w:rsid w:val="003A345C"/>
    <w:rsid w:val="003A45EE"/>
    <w:rsid w:val="003A5E12"/>
    <w:rsid w:val="003A7FB1"/>
    <w:rsid w:val="003B0EDB"/>
    <w:rsid w:val="003B137D"/>
    <w:rsid w:val="003B18D6"/>
    <w:rsid w:val="003B5AE2"/>
    <w:rsid w:val="003B5B34"/>
    <w:rsid w:val="003B60F2"/>
    <w:rsid w:val="003B6507"/>
    <w:rsid w:val="003C016A"/>
    <w:rsid w:val="003C1B2D"/>
    <w:rsid w:val="003C2B3F"/>
    <w:rsid w:val="003C3966"/>
    <w:rsid w:val="003C43B1"/>
    <w:rsid w:val="003C4868"/>
    <w:rsid w:val="003C4BCA"/>
    <w:rsid w:val="003C6447"/>
    <w:rsid w:val="003C6D53"/>
    <w:rsid w:val="003D0167"/>
    <w:rsid w:val="003D0273"/>
    <w:rsid w:val="003D2C82"/>
    <w:rsid w:val="003D316B"/>
    <w:rsid w:val="003D55AB"/>
    <w:rsid w:val="003D56CE"/>
    <w:rsid w:val="003D5C71"/>
    <w:rsid w:val="003D67FE"/>
    <w:rsid w:val="003D7352"/>
    <w:rsid w:val="003D75B1"/>
    <w:rsid w:val="003D7A4F"/>
    <w:rsid w:val="003E00C2"/>
    <w:rsid w:val="003E028A"/>
    <w:rsid w:val="003E1FDE"/>
    <w:rsid w:val="003E2B6E"/>
    <w:rsid w:val="003F4B43"/>
    <w:rsid w:val="00400D5D"/>
    <w:rsid w:val="00400DD1"/>
    <w:rsid w:val="00400FB2"/>
    <w:rsid w:val="0040129A"/>
    <w:rsid w:val="004053AF"/>
    <w:rsid w:val="00410517"/>
    <w:rsid w:val="00410A29"/>
    <w:rsid w:val="00411035"/>
    <w:rsid w:val="00411464"/>
    <w:rsid w:val="0041320F"/>
    <w:rsid w:val="0041345A"/>
    <w:rsid w:val="00413EFF"/>
    <w:rsid w:val="00414780"/>
    <w:rsid w:val="00414CD0"/>
    <w:rsid w:val="00415704"/>
    <w:rsid w:val="0041578A"/>
    <w:rsid w:val="00416BA5"/>
    <w:rsid w:val="00417B9E"/>
    <w:rsid w:val="00417F17"/>
    <w:rsid w:val="00417FDB"/>
    <w:rsid w:val="00420AFE"/>
    <w:rsid w:val="00422FFA"/>
    <w:rsid w:val="00423077"/>
    <w:rsid w:val="00425A9C"/>
    <w:rsid w:val="00427759"/>
    <w:rsid w:val="004306D8"/>
    <w:rsid w:val="004330A1"/>
    <w:rsid w:val="004334A8"/>
    <w:rsid w:val="00433E3D"/>
    <w:rsid w:val="004345D9"/>
    <w:rsid w:val="004358D2"/>
    <w:rsid w:val="00435B81"/>
    <w:rsid w:val="0043616F"/>
    <w:rsid w:val="00437654"/>
    <w:rsid w:val="004403B9"/>
    <w:rsid w:val="00440871"/>
    <w:rsid w:val="00440E52"/>
    <w:rsid w:val="004419C6"/>
    <w:rsid w:val="0044322B"/>
    <w:rsid w:val="00445379"/>
    <w:rsid w:val="00445AE9"/>
    <w:rsid w:val="004460DD"/>
    <w:rsid w:val="00447E14"/>
    <w:rsid w:val="00451790"/>
    <w:rsid w:val="00452586"/>
    <w:rsid w:val="00453AB2"/>
    <w:rsid w:val="00453D28"/>
    <w:rsid w:val="00454F2E"/>
    <w:rsid w:val="00460306"/>
    <w:rsid w:val="00460F70"/>
    <w:rsid w:val="00463507"/>
    <w:rsid w:val="00463CA6"/>
    <w:rsid w:val="00463CBD"/>
    <w:rsid w:val="00464653"/>
    <w:rsid w:val="00466985"/>
    <w:rsid w:val="00466B61"/>
    <w:rsid w:val="00466FDF"/>
    <w:rsid w:val="004723DF"/>
    <w:rsid w:val="00472DA8"/>
    <w:rsid w:val="00472F4C"/>
    <w:rsid w:val="0047396A"/>
    <w:rsid w:val="00480DC3"/>
    <w:rsid w:val="00480E3D"/>
    <w:rsid w:val="00480E49"/>
    <w:rsid w:val="00483A09"/>
    <w:rsid w:val="0048474A"/>
    <w:rsid w:val="00484EF2"/>
    <w:rsid w:val="004853CC"/>
    <w:rsid w:val="00485617"/>
    <w:rsid w:val="00486A48"/>
    <w:rsid w:val="00486CB0"/>
    <w:rsid w:val="004916C9"/>
    <w:rsid w:val="0049276C"/>
    <w:rsid w:val="0049348C"/>
    <w:rsid w:val="00495EFA"/>
    <w:rsid w:val="00497374"/>
    <w:rsid w:val="00497A8B"/>
    <w:rsid w:val="004A0628"/>
    <w:rsid w:val="004A1B8F"/>
    <w:rsid w:val="004A25D1"/>
    <w:rsid w:val="004A2660"/>
    <w:rsid w:val="004A7977"/>
    <w:rsid w:val="004A7A69"/>
    <w:rsid w:val="004B003F"/>
    <w:rsid w:val="004B1016"/>
    <w:rsid w:val="004B23DB"/>
    <w:rsid w:val="004B4A89"/>
    <w:rsid w:val="004B566F"/>
    <w:rsid w:val="004B5D6E"/>
    <w:rsid w:val="004B5F0D"/>
    <w:rsid w:val="004C0132"/>
    <w:rsid w:val="004C02B6"/>
    <w:rsid w:val="004C21CC"/>
    <w:rsid w:val="004C2DBC"/>
    <w:rsid w:val="004C4E5A"/>
    <w:rsid w:val="004C60E2"/>
    <w:rsid w:val="004C6CC3"/>
    <w:rsid w:val="004D042C"/>
    <w:rsid w:val="004D2356"/>
    <w:rsid w:val="004D285C"/>
    <w:rsid w:val="004D29D1"/>
    <w:rsid w:val="004D2EEB"/>
    <w:rsid w:val="004D2FC4"/>
    <w:rsid w:val="004D65D3"/>
    <w:rsid w:val="004D6979"/>
    <w:rsid w:val="004E2620"/>
    <w:rsid w:val="004E6E71"/>
    <w:rsid w:val="004E6FC6"/>
    <w:rsid w:val="004F3859"/>
    <w:rsid w:val="004F40C4"/>
    <w:rsid w:val="004F410E"/>
    <w:rsid w:val="004F48D3"/>
    <w:rsid w:val="00501500"/>
    <w:rsid w:val="005018C4"/>
    <w:rsid w:val="00505E3C"/>
    <w:rsid w:val="00510CE6"/>
    <w:rsid w:val="005122D5"/>
    <w:rsid w:val="00512B1C"/>
    <w:rsid w:val="00513218"/>
    <w:rsid w:val="005168EE"/>
    <w:rsid w:val="00516ABE"/>
    <w:rsid w:val="00517A47"/>
    <w:rsid w:val="00523C69"/>
    <w:rsid w:val="00525890"/>
    <w:rsid w:val="00530DD0"/>
    <w:rsid w:val="00532320"/>
    <w:rsid w:val="005330D2"/>
    <w:rsid w:val="0053482D"/>
    <w:rsid w:val="00535D25"/>
    <w:rsid w:val="0053739C"/>
    <w:rsid w:val="00540B3D"/>
    <w:rsid w:val="00541DB7"/>
    <w:rsid w:val="00543F58"/>
    <w:rsid w:val="00545B66"/>
    <w:rsid w:val="0054748D"/>
    <w:rsid w:val="00547A2D"/>
    <w:rsid w:val="00547E6F"/>
    <w:rsid w:val="0055021B"/>
    <w:rsid w:val="00550AC9"/>
    <w:rsid w:val="00551813"/>
    <w:rsid w:val="00552E94"/>
    <w:rsid w:val="0055348B"/>
    <w:rsid w:val="00554F4E"/>
    <w:rsid w:val="0055546A"/>
    <w:rsid w:val="0055711B"/>
    <w:rsid w:val="00557783"/>
    <w:rsid w:val="00561792"/>
    <w:rsid w:val="00564D92"/>
    <w:rsid w:val="00567662"/>
    <w:rsid w:val="00571B01"/>
    <w:rsid w:val="005725B1"/>
    <w:rsid w:val="0057281F"/>
    <w:rsid w:val="00572EE2"/>
    <w:rsid w:val="00573244"/>
    <w:rsid w:val="00574F92"/>
    <w:rsid w:val="00575A24"/>
    <w:rsid w:val="00575AE2"/>
    <w:rsid w:val="00577DAA"/>
    <w:rsid w:val="00580DC1"/>
    <w:rsid w:val="005817A7"/>
    <w:rsid w:val="0058258F"/>
    <w:rsid w:val="00583536"/>
    <w:rsid w:val="00584795"/>
    <w:rsid w:val="00585FA1"/>
    <w:rsid w:val="00587CD7"/>
    <w:rsid w:val="005904F6"/>
    <w:rsid w:val="00590B6B"/>
    <w:rsid w:val="0059232B"/>
    <w:rsid w:val="0059256B"/>
    <w:rsid w:val="00592855"/>
    <w:rsid w:val="00595166"/>
    <w:rsid w:val="0059546A"/>
    <w:rsid w:val="0059560C"/>
    <w:rsid w:val="005A328F"/>
    <w:rsid w:val="005A403D"/>
    <w:rsid w:val="005A459E"/>
    <w:rsid w:val="005A54D6"/>
    <w:rsid w:val="005B0E2C"/>
    <w:rsid w:val="005B2E5C"/>
    <w:rsid w:val="005B3465"/>
    <w:rsid w:val="005B512B"/>
    <w:rsid w:val="005B637D"/>
    <w:rsid w:val="005B7747"/>
    <w:rsid w:val="005C1EEB"/>
    <w:rsid w:val="005C40D7"/>
    <w:rsid w:val="005C5D23"/>
    <w:rsid w:val="005C6136"/>
    <w:rsid w:val="005C62FD"/>
    <w:rsid w:val="005C6386"/>
    <w:rsid w:val="005C66AC"/>
    <w:rsid w:val="005C6C0E"/>
    <w:rsid w:val="005C6C14"/>
    <w:rsid w:val="005D0037"/>
    <w:rsid w:val="005D0DBD"/>
    <w:rsid w:val="005D0F78"/>
    <w:rsid w:val="005D1BBD"/>
    <w:rsid w:val="005D3C2E"/>
    <w:rsid w:val="005D4040"/>
    <w:rsid w:val="005D5063"/>
    <w:rsid w:val="005D74E5"/>
    <w:rsid w:val="005D7B44"/>
    <w:rsid w:val="005E05B8"/>
    <w:rsid w:val="005E06A3"/>
    <w:rsid w:val="005E2302"/>
    <w:rsid w:val="005E3E35"/>
    <w:rsid w:val="005E6881"/>
    <w:rsid w:val="005E6FEE"/>
    <w:rsid w:val="005E7A81"/>
    <w:rsid w:val="005F230B"/>
    <w:rsid w:val="005F24E9"/>
    <w:rsid w:val="005F2A8B"/>
    <w:rsid w:val="005F5DD4"/>
    <w:rsid w:val="005F75E6"/>
    <w:rsid w:val="005F7915"/>
    <w:rsid w:val="005F7E1F"/>
    <w:rsid w:val="00600D1A"/>
    <w:rsid w:val="006032EC"/>
    <w:rsid w:val="00604319"/>
    <w:rsid w:val="006077D5"/>
    <w:rsid w:val="00610696"/>
    <w:rsid w:val="00612906"/>
    <w:rsid w:val="00613E0E"/>
    <w:rsid w:val="0061429B"/>
    <w:rsid w:val="00617D66"/>
    <w:rsid w:val="006200E4"/>
    <w:rsid w:val="0062385A"/>
    <w:rsid w:val="00623B0D"/>
    <w:rsid w:val="00624973"/>
    <w:rsid w:val="00625080"/>
    <w:rsid w:val="00626963"/>
    <w:rsid w:val="00630B49"/>
    <w:rsid w:val="006322B5"/>
    <w:rsid w:val="00632A06"/>
    <w:rsid w:val="006333DC"/>
    <w:rsid w:val="00634174"/>
    <w:rsid w:val="006347DD"/>
    <w:rsid w:val="006353AB"/>
    <w:rsid w:val="006354AA"/>
    <w:rsid w:val="00636F62"/>
    <w:rsid w:val="0063723E"/>
    <w:rsid w:val="00640C4A"/>
    <w:rsid w:val="00640C5C"/>
    <w:rsid w:val="00642D49"/>
    <w:rsid w:val="00644A2D"/>
    <w:rsid w:val="00645C65"/>
    <w:rsid w:val="00652B7B"/>
    <w:rsid w:val="006530F0"/>
    <w:rsid w:val="00653EDE"/>
    <w:rsid w:val="00654530"/>
    <w:rsid w:val="00654D2F"/>
    <w:rsid w:val="00660B99"/>
    <w:rsid w:val="00663C57"/>
    <w:rsid w:val="00664E4E"/>
    <w:rsid w:val="00665A20"/>
    <w:rsid w:val="006667A9"/>
    <w:rsid w:val="006678D0"/>
    <w:rsid w:val="00670B5E"/>
    <w:rsid w:val="006723A0"/>
    <w:rsid w:val="0067399A"/>
    <w:rsid w:val="00674B4D"/>
    <w:rsid w:val="00675376"/>
    <w:rsid w:val="00676545"/>
    <w:rsid w:val="00680C0D"/>
    <w:rsid w:val="00680CCE"/>
    <w:rsid w:val="0068140F"/>
    <w:rsid w:val="00681445"/>
    <w:rsid w:val="00681514"/>
    <w:rsid w:val="0068211D"/>
    <w:rsid w:val="0068296A"/>
    <w:rsid w:val="00685669"/>
    <w:rsid w:val="00685E46"/>
    <w:rsid w:val="0068611B"/>
    <w:rsid w:val="00687B5E"/>
    <w:rsid w:val="00690995"/>
    <w:rsid w:val="00690D38"/>
    <w:rsid w:val="00692333"/>
    <w:rsid w:val="00692913"/>
    <w:rsid w:val="006929EC"/>
    <w:rsid w:val="006B062D"/>
    <w:rsid w:val="006B20F8"/>
    <w:rsid w:val="006B2E25"/>
    <w:rsid w:val="006B3045"/>
    <w:rsid w:val="006B3930"/>
    <w:rsid w:val="006B7939"/>
    <w:rsid w:val="006C11A6"/>
    <w:rsid w:val="006C536C"/>
    <w:rsid w:val="006C5F7A"/>
    <w:rsid w:val="006C6AC4"/>
    <w:rsid w:val="006C7204"/>
    <w:rsid w:val="006C79A1"/>
    <w:rsid w:val="006D108D"/>
    <w:rsid w:val="006D2012"/>
    <w:rsid w:val="006D238B"/>
    <w:rsid w:val="006D3561"/>
    <w:rsid w:val="006D3971"/>
    <w:rsid w:val="006D429B"/>
    <w:rsid w:val="006D441D"/>
    <w:rsid w:val="006D4AB1"/>
    <w:rsid w:val="006D643C"/>
    <w:rsid w:val="006E1F60"/>
    <w:rsid w:val="006E2B00"/>
    <w:rsid w:val="006E3079"/>
    <w:rsid w:val="006E5DDD"/>
    <w:rsid w:val="006E64B8"/>
    <w:rsid w:val="006F0298"/>
    <w:rsid w:val="006F14B1"/>
    <w:rsid w:val="006F17C3"/>
    <w:rsid w:val="006F22FE"/>
    <w:rsid w:val="006F237E"/>
    <w:rsid w:val="006F46EA"/>
    <w:rsid w:val="006F5160"/>
    <w:rsid w:val="006F5225"/>
    <w:rsid w:val="006F5E62"/>
    <w:rsid w:val="006F6680"/>
    <w:rsid w:val="006F6C30"/>
    <w:rsid w:val="006F7DE7"/>
    <w:rsid w:val="007014D9"/>
    <w:rsid w:val="00701BB1"/>
    <w:rsid w:val="00702A2E"/>
    <w:rsid w:val="0070337C"/>
    <w:rsid w:val="00704D1E"/>
    <w:rsid w:val="00705CB3"/>
    <w:rsid w:val="00706A6B"/>
    <w:rsid w:val="00707600"/>
    <w:rsid w:val="00707A5C"/>
    <w:rsid w:val="00710C81"/>
    <w:rsid w:val="00710C9D"/>
    <w:rsid w:val="00713293"/>
    <w:rsid w:val="0071362D"/>
    <w:rsid w:val="00713BC8"/>
    <w:rsid w:val="007153B5"/>
    <w:rsid w:val="007172EF"/>
    <w:rsid w:val="00721140"/>
    <w:rsid w:val="00721C53"/>
    <w:rsid w:val="00721F94"/>
    <w:rsid w:val="007243BF"/>
    <w:rsid w:val="00724C8C"/>
    <w:rsid w:val="00726E0C"/>
    <w:rsid w:val="0072764C"/>
    <w:rsid w:val="00727D99"/>
    <w:rsid w:val="007303D2"/>
    <w:rsid w:val="007304ED"/>
    <w:rsid w:val="00730B41"/>
    <w:rsid w:val="0073139D"/>
    <w:rsid w:val="00733DB1"/>
    <w:rsid w:val="00736C63"/>
    <w:rsid w:val="00736EB5"/>
    <w:rsid w:val="007413D2"/>
    <w:rsid w:val="00741762"/>
    <w:rsid w:val="00742C71"/>
    <w:rsid w:val="0074334F"/>
    <w:rsid w:val="00745013"/>
    <w:rsid w:val="00745437"/>
    <w:rsid w:val="00745F85"/>
    <w:rsid w:val="00746181"/>
    <w:rsid w:val="00746CA1"/>
    <w:rsid w:val="00746F50"/>
    <w:rsid w:val="00751AE2"/>
    <w:rsid w:val="00753725"/>
    <w:rsid w:val="0075485F"/>
    <w:rsid w:val="00754A6E"/>
    <w:rsid w:val="0075521D"/>
    <w:rsid w:val="00756B38"/>
    <w:rsid w:val="00756BAD"/>
    <w:rsid w:val="00760910"/>
    <w:rsid w:val="00761CB0"/>
    <w:rsid w:val="00761CBB"/>
    <w:rsid w:val="00762C46"/>
    <w:rsid w:val="00763C94"/>
    <w:rsid w:val="00763F93"/>
    <w:rsid w:val="00764D5C"/>
    <w:rsid w:val="00765AAF"/>
    <w:rsid w:val="0077042F"/>
    <w:rsid w:val="00770EC7"/>
    <w:rsid w:val="0077483D"/>
    <w:rsid w:val="007753F0"/>
    <w:rsid w:val="00775713"/>
    <w:rsid w:val="00777196"/>
    <w:rsid w:val="00777DA2"/>
    <w:rsid w:val="00781221"/>
    <w:rsid w:val="007814C1"/>
    <w:rsid w:val="00782F8B"/>
    <w:rsid w:val="00786236"/>
    <w:rsid w:val="0078691F"/>
    <w:rsid w:val="00790380"/>
    <w:rsid w:val="00790B7E"/>
    <w:rsid w:val="00792348"/>
    <w:rsid w:val="00792C99"/>
    <w:rsid w:val="0079366E"/>
    <w:rsid w:val="00797DDE"/>
    <w:rsid w:val="007A1714"/>
    <w:rsid w:val="007A31A0"/>
    <w:rsid w:val="007A399F"/>
    <w:rsid w:val="007A64E5"/>
    <w:rsid w:val="007A6CC4"/>
    <w:rsid w:val="007A6EA9"/>
    <w:rsid w:val="007A745F"/>
    <w:rsid w:val="007B0F88"/>
    <w:rsid w:val="007B2A8E"/>
    <w:rsid w:val="007B5358"/>
    <w:rsid w:val="007B5A5F"/>
    <w:rsid w:val="007B76C0"/>
    <w:rsid w:val="007B7C3C"/>
    <w:rsid w:val="007C09CC"/>
    <w:rsid w:val="007C3727"/>
    <w:rsid w:val="007C3CAB"/>
    <w:rsid w:val="007C496E"/>
    <w:rsid w:val="007C5AA4"/>
    <w:rsid w:val="007D09F1"/>
    <w:rsid w:val="007D408F"/>
    <w:rsid w:val="007D4A05"/>
    <w:rsid w:val="007D55B3"/>
    <w:rsid w:val="007D7DC1"/>
    <w:rsid w:val="007E2EF1"/>
    <w:rsid w:val="007E3275"/>
    <w:rsid w:val="007E6EEC"/>
    <w:rsid w:val="007F1815"/>
    <w:rsid w:val="007F1AB2"/>
    <w:rsid w:val="007F214D"/>
    <w:rsid w:val="007F32DF"/>
    <w:rsid w:val="007F3646"/>
    <w:rsid w:val="007F449E"/>
    <w:rsid w:val="00800391"/>
    <w:rsid w:val="00801AE5"/>
    <w:rsid w:val="00805D33"/>
    <w:rsid w:val="008061A7"/>
    <w:rsid w:val="00806F7E"/>
    <w:rsid w:val="008117C2"/>
    <w:rsid w:val="00812249"/>
    <w:rsid w:val="008126D1"/>
    <w:rsid w:val="008176CD"/>
    <w:rsid w:val="0081793B"/>
    <w:rsid w:val="008212DA"/>
    <w:rsid w:val="00821615"/>
    <w:rsid w:val="00821F67"/>
    <w:rsid w:val="008221FB"/>
    <w:rsid w:val="008258CA"/>
    <w:rsid w:val="00825D0D"/>
    <w:rsid w:val="00826BE7"/>
    <w:rsid w:val="008272E5"/>
    <w:rsid w:val="008301BD"/>
    <w:rsid w:val="008325E9"/>
    <w:rsid w:val="008342F7"/>
    <w:rsid w:val="00841AD2"/>
    <w:rsid w:val="00841B52"/>
    <w:rsid w:val="00842CB7"/>
    <w:rsid w:val="0084335D"/>
    <w:rsid w:val="00843592"/>
    <w:rsid w:val="00843AED"/>
    <w:rsid w:val="008452F3"/>
    <w:rsid w:val="00845693"/>
    <w:rsid w:val="00845A65"/>
    <w:rsid w:val="00845A9D"/>
    <w:rsid w:val="00845F52"/>
    <w:rsid w:val="008460FF"/>
    <w:rsid w:val="00846806"/>
    <w:rsid w:val="00850981"/>
    <w:rsid w:val="0085110C"/>
    <w:rsid w:val="00852E6A"/>
    <w:rsid w:val="00852F6F"/>
    <w:rsid w:val="00854777"/>
    <w:rsid w:val="00854BC4"/>
    <w:rsid w:val="00854CF2"/>
    <w:rsid w:val="008554D2"/>
    <w:rsid w:val="00855FCE"/>
    <w:rsid w:val="008576C1"/>
    <w:rsid w:val="00857E86"/>
    <w:rsid w:val="0086146C"/>
    <w:rsid w:val="00861CDB"/>
    <w:rsid w:val="00864181"/>
    <w:rsid w:val="008718CB"/>
    <w:rsid w:val="00872FEA"/>
    <w:rsid w:val="008735AC"/>
    <w:rsid w:val="00873772"/>
    <w:rsid w:val="008738AF"/>
    <w:rsid w:val="00874185"/>
    <w:rsid w:val="00874199"/>
    <w:rsid w:val="008747F4"/>
    <w:rsid w:val="00874C96"/>
    <w:rsid w:val="00880633"/>
    <w:rsid w:val="00882C00"/>
    <w:rsid w:val="00882C77"/>
    <w:rsid w:val="00883001"/>
    <w:rsid w:val="0088381A"/>
    <w:rsid w:val="008839CA"/>
    <w:rsid w:val="00885594"/>
    <w:rsid w:val="00885B6C"/>
    <w:rsid w:val="0088708F"/>
    <w:rsid w:val="008931B5"/>
    <w:rsid w:val="00895167"/>
    <w:rsid w:val="008964BB"/>
    <w:rsid w:val="00896C78"/>
    <w:rsid w:val="008A1ACA"/>
    <w:rsid w:val="008A4A45"/>
    <w:rsid w:val="008A4F4A"/>
    <w:rsid w:val="008A5728"/>
    <w:rsid w:val="008A6E57"/>
    <w:rsid w:val="008B0F7C"/>
    <w:rsid w:val="008B2C26"/>
    <w:rsid w:val="008B55F4"/>
    <w:rsid w:val="008B6E0D"/>
    <w:rsid w:val="008B7C84"/>
    <w:rsid w:val="008B7FB3"/>
    <w:rsid w:val="008C0B0A"/>
    <w:rsid w:val="008C55C4"/>
    <w:rsid w:val="008C5A8E"/>
    <w:rsid w:val="008C5FCB"/>
    <w:rsid w:val="008C62F8"/>
    <w:rsid w:val="008C7D81"/>
    <w:rsid w:val="008D0581"/>
    <w:rsid w:val="008D0EC0"/>
    <w:rsid w:val="008D1497"/>
    <w:rsid w:val="008D299D"/>
    <w:rsid w:val="008D2A93"/>
    <w:rsid w:val="008D390B"/>
    <w:rsid w:val="008D3FBB"/>
    <w:rsid w:val="008D41B3"/>
    <w:rsid w:val="008D61DC"/>
    <w:rsid w:val="008D66C0"/>
    <w:rsid w:val="008D6B67"/>
    <w:rsid w:val="008D71C9"/>
    <w:rsid w:val="008E19AA"/>
    <w:rsid w:val="008E21DA"/>
    <w:rsid w:val="008E2845"/>
    <w:rsid w:val="008E2E66"/>
    <w:rsid w:val="008E4451"/>
    <w:rsid w:val="008E5B17"/>
    <w:rsid w:val="008E6692"/>
    <w:rsid w:val="008F1248"/>
    <w:rsid w:val="008F16B2"/>
    <w:rsid w:val="008F5B01"/>
    <w:rsid w:val="008F60EF"/>
    <w:rsid w:val="008F6813"/>
    <w:rsid w:val="008F6B43"/>
    <w:rsid w:val="008F7F9C"/>
    <w:rsid w:val="0090051F"/>
    <w:rsid w:val="00901AC1"/>
    <w:rsid w:val="00903A7D"/>
    <w:rsid w:val="00911454"/>
    <w:rsid w:val="00911D7E"/>
    <w:rsid w:val="0091272D"/>
    <w:rsid w:val="009148D0"/>
    <w:rsid w:val="00914D5E"/>
    <w:rsid w:val="00914F6A"/>
    <w:rsid w:val="009178A0"/>
    <w:rsid w:val="00917EA0"/>
    <w:rsid w:val="00920B04"/>
    <w:rsid w:val="00922799"/>
    <w:rsid w:val="00922E41"/>
    <w:rsid w:val="00924AB8"/>
    <w:rsid w:val="009267CD"/>
    <w:rsid w:val="00926ACB"/>
    <w:rsid w:val="0092706D"/>
    <w:rsid w:val="009271A1"/>
    <w:rsid w:val="009302F0"/>
    <w:rsid w:val="009309A7"/>
    <w:rsid w:val="00932CFC"/>
    <w:rsid w:val="00933DF0"/>
    <w:rsid w:val="009340C3"/>
    <w:rsid w:val="00935BA1"/>
    <w:rsid w:val="00943137"/>
    <w:rsid w:val="00943C6F"/>
    <w:rsid w:val="00944E7A"/>
    <w:rsid w:val="009455F8"/>
    <w:rsid w:val="00945B40"/>
    <w:rsid w:val="00946B58"/>
    <w:rsid w:val="00946FE4"/>
    <w:rsid w:val="009534DB"/>
    <w:rsid w:val="00954D09"/>
    <w:rsid w:val="009566E1"/>
    <w:rsid w:val="00957A1E"/>
    <w:rsid w:val="00957F09"/>
    <w:rsid w:val="0096054D"/>
    <w:rsid w:val="00961BC1"/>
    <w:rsid w:val="00961CCA"/>
    <w:rsid w:val="0096242F"/>
    <w:rsid w:val="00962730"/>
    <w:rsid w:val="00962E23"/>
    <w:rsid w:val="00965DD2"/>
    <w:rsid w:val="009666AB"/>
    <w:rsid w:val="009668F3"/>
    <w:rsid w:val="00967F90"/>
    <w:rsid w:val="00970A0A"/>
    <w:rsid w:val="00971C0B"/>
    <w:rsid w:val="00971EDA"/>
    <w:rsid w:val="0097244C"/>
    <w:rsid w:val="00972AED"/>
    <w:rsid w:val="00973EB9"/>
    <w:rsid w:val="00977792"/>
    <w:rsid w:val="00977D23"/>
    <w:rsid w:val="00981A02"/>
    <w:rsid w:val="00982516"/>
    <w:rsid w:val="009826B5"/>
    <w:rsid w:val="00983AF3"/>
    <w:rsid w:val="00984F4B"/>
    <w:rsid w:val="0098557B"/>
    <w:rsid w:val="00985790"/>
    <w:rsid w:val="00985CCE"/>
    <w:rsid w:val="00986998"/>
    <w:rsid w:val="00987286"/>
    <w:rsid w:val="009878B5"/>
    <w:rsid w:val="00987A7D"/>
    <w:rsid w:val="0099183C"/>
    <w:rsid w:val="0099339A"/>
    <w:rsid w:val="009941F4"/>
    <w:rsid w:val="0099623B"/>
    <w:rsid w:val="009A117B"/>
    <w:rsid w:val="009A253D"/>
    <w:rsid w:val="009A2664"/>
    <w:rsid w:val="009A339C"/>
    <w:rsid w:val="009A468B"/>
    <w:rsid w:val="009A6291"/>
    <w:rsid w:val="009A6E63"/>
    <w:rsid w:val="009A7170"/>
    <w:rsid w:val="009A7E27"/>
    <w:rsid w:val="009B10A3"/>
    <w:rsid w:val="009B4397"/>
    <w:rsid w:val="009B688D"/>
    <w:rsid w:val="009B6FEE"/>
    <w:rsid w:val="009C18FE"/>
    <w:rsid w:val="009C37F3"/>
    <w:rsid w:val="009C49EC"/>
    <w:rsid w:val="009D0B68"/>
    <w:rsid w:val="009D0FBA"/>
    <w:rsid w:val="009D5889"/>
    <w:rsid w:val="009D5F72"/>
    <w:rsid w:val="009D7477"/>
    <w:rsid w:val="009D7E4D"/>
    <w:rsid w:val="009E3B84"/>
    <w:rsid w:val="009E46E1"/>
    <w:rsid w:val="009E72EB"/>
    <w:rsid w:val="009E79F5"/>
    <w:rsid w:val="009F259F"/>
    <w:rsid w:val="009F2E98"/>
    <w:rsid w:val="009F359F"/>
    <w:rsid w:val="009F6912"/>
    <w:rsid w:val="00A006AE"/>
    <w:rsid w:val="00A013AF"/>
    <w:rsid w:val="00A04D87"/>
    <w:rsid w:val="00A076AB"/>
    <w:rsid w:val="00A14AB2"/>
    <w:rsid w:val="00A14BD4"/>
    <w:rsid w:val="00A159B3"/>
    <w:rsid w:val="00A15E59"/>
    <w:rsid w:val="00A179D8"/>
    <w:rsid w:val="00A20535"/>
    <w:rsid w:val="00A208A6"/>
    <w:rsid w:val="00A210F4"/>
    <w:rsid w:val="00A2677B"/>
    <w:rsid w:val="00A26EE7"/>
    <w:rsid w:val="00A316C7"/>
    <w:rsid w:val="00A41F41"/>
    <w:rsid w:val="00A42B08"/>
    <w:rsid w:val="00A430A2"/>
    <w:rsid w:val="00A44259"/>
    <w:rsid w:val="00A44A8D"/>
    <w:rsid w:val="00A4538F"/>
    <w:rsid w:val="00A458C7"/>
    <w:rsid w:val="00A45A68"/>
    <w:rsid w:val="00A45F6E"/>
    <w:rsid w:val="00A47D2E"/>
    <w:rsid w:val="00A47D74"/>
    <w:rsid w:val="00A47E5E"/>
    <w:rsid w:val="00A50994"/>
    <w:rsid w:val="00A521D8"/>
    <w:rsid w:val="00A52523"/>
    <w:rsid w:val="00A52766"/>
    <w:rsid w:val="00A5276A"/>
    <w:rsid w:val="00A53435"/>
    <w:rsid w:val="00A569C2"/>
    <w:rsid w:val="00A56B3A"/>
    <w:rsid w:val="00A57065"/>
    <w:rsid w:val="00A619F1"/>
    <w:rsid w:val="00A62D08"/>
    <w:rsid w:val="00A633B5"/>
    <w:rsid w:val="00A63544"/>
    <w:rsid w:val="00A65E7F"/>
    <w:rsid w:val="00A67DD9"/>
    <w:rsid w:val="00A71ED0"/>
    <w:rsid w:val="00A730C9"/>
    <w:rsid w:val="00A7425B"/>
    <w:rsid w:val="00A8169A"/>
    <w:rsid w:val="00A816B1"/>
    <w:rsid w:val="00A81D5F"/>
    <w:rsid w:val="00A84269"/>
    <w:rsid w:val="00A8427D"/>
    <w:rsid w:val="00A8614E"/>
    <w:rsid w:val="00A86535"/>
    <w:rsid w:val="00A8666F"/>
    <w:rsid w:val="00A9159C"/>
    <w:rsid w:val="00A92AAA"/>
    <w:rsid w:val="00A9331D"/>
    <w:rsid w:val="00A94B3E"/>
    <w:rsid w:val="00A95586"/>
    <w:rsid w:val="00A956A6"/>
    <w:rsid w:val="00A960C7"/>
    <w:rsid w:val="00A969D4"/>
    <w:rsid w:val="00A971F9"/>
    <w:rsid w:val="00A97C6E"/>
    <w:rsid w:val="00AA1773"/>
    <w:rsid w:val="00AA228E"/>
    <w:rsid w:val="00AA265B"/>
    <w:rsid w:val="00AA2803"/>
    <w:rsid w:val="00AA2B3B"/>
    <w:rsid w:val="00AA2FE8"/>
    <w:rsid w:val="00AA3188"/>
    <w:rsid w:val="00AA354F"/>
    <w:rsid w:val="00AA69F6"/>
    <w:rsid w:val="00AB0407"/>
    <w:rsid w:val="00AB0B95"/>
    <w:rsid w:val="00AB1A0A"/>
    <w:rsid w:val="00AB26F2"/>
    <w:rsid w:val="00AB6B0A"/>
    <w:rsid w:val="00AC2DA0"/>
    <w:rsid w:val="00AC46C9"/>
    <w:rsid w:val="00AC498B"/>
    <w:rsid w:val="00AC4B30"/>
    <w:rsid w:val="00AC615C"/>
    <w:rsid w:val="00AC628B"/>
    <w:rsid w:val="00AC6C58"/>
    <w:rsid w:val="00AC7C7B"/>
    <w:rsid w:val="00AD0FC4"/>
    <w:rsid w:val="00AD1898"/>
    <w:rsid w:val="00AD42B1"/>
    <w:rsid w:val="00AE03C2"/>
    <w:rsid w:val="00AE1BFC"/>
    <w:rsid w:val="00AE22D6"/>
    <w:rsid w:val="00AE28B8"/>
    <w:rsid w:val="00AE362A"/>
    <w:rsid w:val="00AE3C67"/>
    <w:rsid w:val="00AE5771"/>
    <w:rsid w:val="00AE75DE"/>
    <w:rsid w:val="00AF1E17"/>
    <w:rsid w:val="00AF41F8"/>
    <w:rsid w:val="00AF4F6A"/>
    <w:rsid w:val="00AF57E9"/>
    <w:rsid w:val="00AF654F"/>
    <w:rsid w:val="00AF6C23"/>
    <w:rsid w:val="00AF7C74"/>
    <w:rsid w:val="00B02162"/>
    <w:rsid w:val="00B027CF"/>
    <w:rsid w:val="00B03070"/>
    <w:rsid w:val="00B033B8"/>
    <w:rsid w:val="00B05B6B"/>
    <w:rsid w:val="00B06BA2"/>
    <w:rsid w:val="00B06C41"/>
    <w:rsid w:val="00B06CA1"/>
    <w:rsid w:val="00B10E24"/>
    <w:rsid w:val="00B11E8D"/>
    <w:rsid w:val="00B13BA9"/>
    <w:rsid w:val="00B13C03"/>
    <w:rsid w:val="00B1419C"/>
    <w:rsid w:val="00B15B6E"/>
    <w:rsid w:val="00B15C41"/>
    <w:rsid w:val="00B15F6C"/>
    <w:rsid w:val="00B168D6"/>
    <w:rsid w:val="00B247FD"/>
    <w:rsid w:val="00B26C92"/>
    <w:rsid w:val="00B318B8"/>
    <w:rsid w:val="00B32DC6"/>
    <w:rsid w:val="00B33B74"/>
    <w:rsid w:val="00B33C43"/>
    <w:rsid w:val="00B34B65"/>
    <w:rsid w:val="00B35B7F"/>
    <w:rsid w:val="00B3655A"/>
    <w:rsid w:val="00B366C2"/>
    <w:rsid w:val="00B36821"/>
    <w:rsid w:val="00B37106"/>
    <w:rsid w:val="00B3775A"/>
    <w:rsid w:val="00B37772"/>
    <w:rsid w:val="00B40785"/>
    <w:rsid w:val="00B41672"/>
    <w:rsid w:val="00B41B1D"/>
    <w:rsid w:val="00B42BAF"/>
    <w:rsid w:val="00B42E4D"/>
    <w:rsid w:val="00B43C4B"/>
    <w:rsid w:val="00B447CA"/>
    <w:rsid w:val="00B46033"/>
    <w:rsid w:val="00B5149B"/>
    <w:rsid w:val="00B5202B"/>
    <w:rsid w:val="00B53D72"/>
    <w:rsid w:val="00B5608E"/>
    <w:rsid w:val="00B561C8"/>
    <w:rsid w:val="00B569AA"/>
    <w:rsid w:val="00B57A1A"/>
    <w:rsid w:val="00B61393"/>
    <w:rsid w:val="00B63EDE"/>
    <w:rsid w:val="00B64412"/>
    <w:rsid w:val="00B65425"/>
    <w:rsid w:val="00B6585C"/>
    <w:rsid w:val="00B65ECF"/>
    <w:rsid w:val="00B67CAB"/>
    <w:rsid w:val="00B7066F"/>
    <w:rsid w:val="00B72435"/>
    <w:rsid w:val="00B72E17"/>
    <w:rsid w:val="00B81F9F"/>
    <w:rsid w:val="00B83355"/>
    <w:rsid w:val="00B83A25"/>
    <w:rsid w:val="00B862EF"/>
    <w:rsid w:val="00B864FB"/>
    <w:rsid w:val="00B91856"/>
    <w:rsid w:val="00B93834"/>
    <w:rsid w:val="00B93DCF"/>
    <w:rsid w:val="00B94406"/>
    <w:rsid w:val="00B976B3"/>
    <w:rsid w:val="00BA1D1B"/>
    <w:rsid w:val="00BA3159"/>
    <w:rsid w:val="00BA3F85"/>
    <w:rsid w:val="00BA5287"/>
    <w:rsid w:val="00BA57E3"/>
    <w:rsid w:val="00BA6433"/>
    <w:rsid w:val="00BA692A"/>
    <w:rsid w:val="00BA6D58"/>
    <w:rsid w:val="00BB0947"/>
    <w:rsid w:val="00BB3401"/>
    <w:rsid w:val="00BB440D"/>
    <w:rsid w:val="00BB493E"/>
    <w:rsid w:val="00BB5026"/>
    <w:rsid w:val="00BB5465"/>
    <w:rsid w:val="00BB5C2C"/>
    <w:rsid w:val="00BB5C8D"/>
    <w:rsid w:val="00BB5DAB"/>
    <w:rsid w:val="00BC06F4"/>
    <w:rsid w:val="00BC2A96"/>
    <w:rsid w:val="00BC2D57"/>
    <w:rsid w:val="00BC3508"/>
    <w:rsid w:val="00BC5261"/>
    <w:rsid w:val="00BC55F5"/>
    <w:rsid w:val="00BC77EA"/>
    <w:rsid w:val="00BD1D9A"/>
    <w:rsid w:val="00BD356B"/>
    <w:rsid w:val="00BD440C"/>
    <w:rsid w:val="00BD67D4"/>
    <w:rsid w:val="00BD7752"/>
    <w:rsid w:val="00BE1C0C"/>
    <w:rsid w:val="00BE48D1"/>
    <w:rsid w:val="00BE56FC"/>
    <w:rsid w:val="00BE5D0A"/>
    <w:rsid w:val="00BF1C19"/>
    <w:rsid w:val="00BF35E4"/>
    <w:rsid w:val="00BF5097"/>
    <w:rsid w:val="00BF6CC2"/>
    <w:rsid w:val="00BF6FE7"/>
    <w:rsid w:val="00C0070D"/>
    <w:rsid w:val="00C01543"/>
    <w:rsid w:val="00C051EF"/>
    <w:rsid w:val="00C067E9"/>
    <w:rsid w:val="00C06854"/>
    <w:rsid w:val="00C10347"/>
    <w:rsid w:val="00C115CC"/>
    <w:rsid w:val="00C127B2"/>
    <w:rsid w:val="00C129FB"/>
    <w:rsid w:val="00C1359A"/>
    <w:rsid w:val="00C135B5"/>
    <w:rsid w:val="00C15EF6"/>
    <w:rsid w:val="00C169D5"/>
    <w:rsid w:val="00C1740A"/>
    <w:rsid w:val="00C1770B"/>
    <w:rsid w:val="00C20805"/>
    <w:rsid w:val="00C211B3"/>
    <w:rsid w:val="00C236B0"/>
    <w:rsid w:val="00C2406A"/>
    <w:rsid w:val="00C2553B"/>
    <w:rsid w:val="00C25AE8"/>
    <w:rsid w:val="00C25F7D"/>
    <w:rsid w:val="00C265CE"/>
    <w:rsid w:val="00C272AE"/>
    <w:rsid w:val="00C273F3"/>
    <w:rsid w:val="00C27BB0"/>
    <w:rsid w:val="00C31A3D"/>
    <w:rsid w:val="00C34198"/>
    <w:rsid w:val="00C34633"/>
    <w:rsid w:val="00C34E91"/>
    <w:rsid w:val="00C35DFE"/>
    <w:rsid w:val="00C37A6E"/>
    <w:rsid w:val="00C37F0F"/>
    <w:rsid w:val="00C40D6A"/>
    <w:rsid w:val="00C41282"/>
    <w:rsid w:val="00C43451"/>
    <w:rsid w:val="00C43B58"/>
    <w:rsid w:val="00C43C21"/>
    <w:rsid w:val="00C43FA2"/>
    <w:rsid w:val="00C441DB"/>
    <w:rsid w:val="00C46708"/>
    <w:rsid w:val="00C46F31"/>
    <w:rsid w:val="00C46FC5"/>
    <w:rsid w:val="00C5054A"/>
    <w:rsid w:val="00C5062A"/>
    <w:rsid w:val="00C50EF2"/>
    <w:rsid w:val="00C51BA1"/>
    <w:rsid w:val="00C52D45"/>
    <w:rsid w:val="00C5617A"/>
    <w:rsid w:val="00C56F5C"/>
    <w:rsid w:val="00C610FA"/>
    <w:rsid w:val="00C633ED"/>
    <w:rsid w:val="00C63797"/>
    <w:rsid w:val="00C6404D"/>
    <w:rsid w:val="00C649EF"/>
    <w:rsid w:val="00C65FC6"/>
    <w:rsid w:val="00C674B2"/>
    <w:rsid w:val="00C67D69"/>
    <w:rsid w:val="00C71039"/>
    <w:rsid w:val="00C74FDB"/>
    <w:rsid w:val="00C75111"/>
    <w:rsid w:val="00C77FFA"/>
    <w:rsid w:val="00C82D75"/>
    <w:rsid w:val="00C85858"/>
    <w:rsid w:val="00C862F7"/>
    <w:rsid w:val="00C901F8"/>
    <w:rsid w:val="00C90675"/>
    <w:rsid w:val="00C91842"/>
    <w:rsid w:val="00C92628"/>
    <w:rsid w:val="00C92991"/>
    <w:rsid w:val="00C9785E"/>
    <w:rsid w:val="00CA1E2A"/>
    <w:rsid w:val="00CA2429"/>
    <w:rsid w:val="00CA2467"/>
    <w:rsid w:val="00CA2856"/>
    <w:rsid w:val="00CA558E"/>
    <w:rsid w:val="00CA711B"/>
    <w:rsid w:val="00CA75AC"/>
    <w:rsid w:val="00CA7E58"/>
    <w:rsid w:val="00CB0B96"/>
    <w:rsid w:val="00CB0C4B"/>
    <w:rsid w:val="00CB2380"/>
    <w:rsid w:val="00CB2D71"/>
    <w:rsid w:val="00CB3C52"/>
    <w:rsid w:val="00CB458E"/>
    <w:rsid w:val="00CB5B82"/>
    <w:rsid w:val="00CB6AD1"/>
    <w:rsid w:val="00CC0425"/>
    <w:rsid w:val="00CC0EC1"/>
    <w:rsid w:val="00CC1962"/>
    <w:rsid w:val="00CC3A38"/>
    <w:rsid w:val="00CC58C5"/>
    <w:rsid w:val="00CC6578"/>
    <w:rsid w:val="00CC6660"/>
    <w:rsid w:val="00CC7B1A"/>
    <w:rsid w:val="00CD093B"/>
    <w:rsid w:val="00CD2BE3"/>
    <w:rsid w:val="00CD2FC0"/>
    <w:rsid w:val="00CD452E"/>
    <w:rsid w:val="00CD6ED2"/>
    <w:rsid w:val="00CE5D69"/>
    <w:rsid w:val="00CE762B"/>
    <w:rsid w:val="00CF1464"/>
    <w:rsid w:val="00CF18D2"/>
    <w:rsid w:val="00CF3F58"/>
    <w:rsid w:val="00CF4817"/>
    <w:rsid w:val="00CF522A"/>
    <w:rsid w:val="00CF524B"/>
    <w:rsid w:val="00CF60E9"/>
    <w:rsid w:val="00CF6159"/>
    <w:rsid w:val="00CF6AC4"/>
    <w:rsid w:val="00D01522"/>
    <w:rsid w:val="00D01A8B"/>
    <w:rsid w:val="00D036D9"/>
    <w:rsid w:val="00D05140"/>
    <w:rsid w:val="00D0530A"/>
    <w:rsid w:val="00D07953"/>
    <w:rsid w:val="00D15C4C"/>
    <w:rsid w:val="00D15D89"/>
    <w:rsid w:val="00D16C72"/>
    <w:rsid w:val="00D16FD3"/>
    <w:rsid w:val="00D2013D"/>
    <w:rsid w:val="00D2032B"/>
    <w:rsid w:val="00D213CE"/>
    <w:rsid w:val="00D24C53"/>
    <w:rsid w:val="00D2697A"/>
    <w:rsid w:val="00D35B06"/>
    <w:rsid w:val="00D3666D"/>
    <w:rsid w:val="00D37470"/>
    <w:rsid w:val="00D37F2D"/>
    <w:rsid w:val="00D4348C"/>
    <w:rsid w:val="00D508B3"/>
    <w:rsid w:val="00D50A07"/>
    <w:rsid w:val="00D51DEC"/>
    <w:rsid w:val="00D5359A"/>
    <w:rsid w:val="00D54457"/>
    <w:rsid w:val="00D545D9"/>
    <w:rsid w:val="00D54BC3"/>
    <w:rsid w:val="00D56F76"/>
    <w:rsid w:val="00D66D8C"/>
    <w:rsid w:val="00D71455"/>
    <w:rsid w:val="00D72DCE"/>
    <w:rsid w:val="00D72F2E"/>
    <w:rsid w:val="00D735FB"/>
    <w:rsid w:val="00D75C34"/>
    <w:rsid w:val="00D77347"/>
    <w:rsid w:val="00D8024D"/>
    <w:rsid w:val="00D81698"/>
    <w:rsid w:val="00D821F2"/>
    <w:rsid w:val="00D837AF"/>
    <w:rsid w:val="00D8512B"/>
    <w:rsid w:val="00D85F72"/>
    <w:rsid w:val="00D862A3"/>
    <w:rsid w:val="00D87914"/>
    <w:rsid w:val="00D90A7C"/>
    <w:rsid w:val="00D913B0"/>
    <w:rsid w:val="00D92AD9"/>
    <w:rsid w:val="00D9313B"/>
    <w:rsid w:val="00D9318B"/>
    <w:rsid w:val="00D95F2C"/>
    <w:rsid w:val="00D96B99"/>
    <w:rsid w:val="00DA1775"/>
    <w:rsid w:val="00DA2179"/>
    <w:rsid w:val="00DA2887"/>
    <w:rsid w:val="00DA30D5"/>
    <w:rsid w:val="00DA52F8"/>
    <w:rsid w:val="00DB0E2B"/>
    <w:rsid w:val="00DB162F"/>
    <w:rsid w:val="00DB34D3"/>
    <w:rsid w:val="00DB3CA3"/>
    <w:rsid w:val="00DB4BB7"/>
    <w:rsid w:val="00DB5A4D"/>
    <w:rsid w:val="00DB621E"/>
    <w:rsid w:val="00DC0F57"/>
    <w:rsid w:val="00DC1013"/>
    <w:rsid w:val="00DC3703"/>
    <w:rsid w:val="00DC3CA0"/>
    <w:rsid w:val="00DC4EE1"/>
    <w:rsid w:val="00DD01CD"/>
    <w:rsid w:val="00DD0A3D"/>
    <w:rsid w:val="00DD0B5C"/>
    <w:rsid w:val="00DD0DDB"/>
    <w:rsid w:val="00DD196F"/>
    <w:rsid w:val="00DD2D5F"/>
    <w:rsid w:val="00DD402A"/>
    <w:rsid w:val="00DD46C0"/>
    <w:rsid w:val="00DD6AFD"/>
    <w:rsid w:val="00DD6E39"/>
    <w:rsid w:val="00DE0FEA"/>
    <w:rsid w:val="00DE208B"/>
    <w:rsid w:val="00DE21E4"/>
    <w:rsid w:val="00DE29FE"/>
    <w:rsid w:val="00DE2B2A"/>
    <w:rsid w:val="00DE30D8"/>
    <w:rsid w:val="00DE3506"/>
    <w:rsid w:val="00DE3D77"/>
    <w:rsid w:val="00DE58C1"/>
    <w:rsid w:val="00DF1D4F"/>
    <w:rsid w:val="00DF26D9"/>
    <w:rsid w:val="00DF453C"/>
    <w:rsid w:val="00DF4669"/>
    <w:rsid w:val="00DF4DD3"/>
    <w:rsid w:val="00DF6AB5"/>
    <w:rsid w:val="00E00248"/>
    <w:rsid w:val="00E01F36"/>
    <w:rsid w:val="00E0657C"/>
    <w:rsid w:val="00E072E2"/>
    <w:rsid w:val="00E073BC"/>
    <w:rsid w:val="00E12E26"/>
    <w:rsid w:val="00E12E5C"/>
    <w:rsid w:val="00E1413F"/>
    <w:rsid w:val="00E1455A"/>
    <w:rsid w:val="00E1507B"/>
    <w:rsid w:val="00E16EF0"/>
    <w:rsid w:val="00E16F6F"/>
    <w:rsid w:val="00E16FFF"/>
    <w:rsid w:val="00E20955"/>
    <w:rsid w:val="00E2281E"/>
    <w:rsid w:val="00E22F2B"/>
    <w:rsid w:val="00E24F07"/>
    <w:rsid w:val="00E25765"/>
    <w:rsid w:val="00E258B7"/>
    <w:rsid w:val="00E27A9F"/>
    <w:rsid w:val="00E3068C"/>
    <w:rsid w:val="00E306B8"/>
    <w:rsid w:val="00E30BD9"/>
    <w:rsid w:val="00E3198B"/>
    <w:rsid w:val="00E32314"/>
    <w:rsid w:val="00E340AE"/>
    <w:rsid w:val="00E35050"/>
    <w:rsid w:val="00E3695B"/>
    <w:rsid w:val="00E37BD4"/>
    <w:rsid w:val="00E37D6A"/>
    <w:rsid w:val="00E41185"/>
    <w:rsid w:val="00E423C8"/>
    <w:rsid w:val="00E43F7A"/>
    <w:rsid w:val="00E45878"/>
    <w:rsid w:val="00E474F2"/>
    <w:rsid w:val="00E5126E"/>
    <w:rsid w:val="00E620F6"/>
    <w:rsid w:val="00E66E44"/>
    <w:rsid w:val="00E67283"/>
    <w:rsid w:val="00E67F34"/>
    <w:rsid w:val="00E71A71"/>
    <w:rsid w:val="00E7299B"/>
    <w:rsid w:val="00E7363B"/>
    <w:rsid w:val="00E748D9"/>
    <w:rsid w:val="00E75E61"/>
    <w:rsid w:val="00E7611A"/>
    <w:rsid w:val="00E77447"/>
    <w:rsid w:val="00E80D88"/>
    <w:rsid w:val="00E82399"/>
    <w:rsid w:val="00E8336E"/>
    <w:rsid w:val="00E843A0"/>
    <w:rsid w:val="00E87595"/>
    <w:rsid w:val="00E90AA2"/>
    <w:rsid w:val="00E91567"/>
    <w:rsid w:val="00E91C86"/>
    <w:rsid w:val="00E92474"/>
    <w:rsid w:val="00E936A0"/>
    <w:rsid w:val="00E93FF5"/>
    <w:rsid w:val="00EA0036"/>
    <w:rsid w:val="00EA1097"/>
    <w:rsid w:val="00EA1603"/>
    <w:rsid w:val="00EA49D9"/>
    <w:rsid w:val="00EA4BE6"/>
    <w:rsid w:val="00EA58E3"/>
    <w:rsid w:val="00EA64FC"/>
    <w:rsid w:val="00EB0EA4"/>
    <w:rsid w:val="00EB156E"/>
    <w:rsid w:val="00EB33F1"/>
    <w:rsid w:val="00EB37D7"/>
    <w:rsid w:val="00EB64D4"/>
    <w:rsid w:val="00EB6D97"/>
    <w:rsid w:val="00EC10FA"/>
    <w:rsid w:val="00EC143C"/>
    <w:rsid w:val="00EC2AC8"/>
    <w:rsid w:val="00EC3793"/>
    <w:rsid w:val="00EC4788"/>
    <w:rsid w:val="00EC54CD"/>
    <w:rsid w:val="00EC5C91"/>
    <w:rsid w:val="00EC6685"/>
    <w:rsid w:val="00EC7476"/>
    <w:rsid w:val="00ED0444"/>
    <w:rsid w:val="00ED0700"/>
    <w:rsid w:val="00ED27BD"/>
    <w:rsid w:val="00ED3DFE"/>
    <w:rsid w:val="00ED4FB3"/>
    <w:rsid w:val="00ED578B"/>
    <w:rsid w:val="00ED5F5F"/>
    <w:rsid w:val="00ED5F86"/>
    <w:rsid w:val="00EE039D"/>
    <w:rsid w:val="00EE0CB9"/>
    <w:rsid w:val="00EE28E5"/>
    <w:rsid w:val="00EE6165"/>
    <w:rsid w:val="00EF06DD"/>
    <w:rsid w:val="00EF2283"/>
    <w:rsid w:val="00EF5E3A"/>
    <w:rsid w:val="00F00916"/>
    <w:rsid w:val="00F02435"/>
    <w:rsid w:val="00F02B21"/>
    <w:rsid w:val="00F03966"/>
    <w:rsid w:val="00F03F58"/>
    <w:rsid w:val="00F04A3A"/>
    <w:rsid w:val="00F10931"/>
    <w:rsid w:val="00F10A0D"/>
    <w:rsid w:val="00F11A93"/>
    <w:rsid w:val="00F12A25"/>
    <w:rsid w:val="00F14771"/>
    <w:rsid w:val="00F1725B"/>
    <w:rsid w:val="00F23B1A"/>
    <w:rsid w:val="00F24EC0"/>
    <w:rsid w:val="00F26037"/>
    <w:rsid w:val="00F26F2A"/>
    <w:rsid w:val="00F27094"/>
    <w:rsid w:val="00F3067A"/>
    <w:rsid w:val="00F3157B"/>
    <w:rsid w:val="00F316C6"/>
    <w:rsid w:val="00F31B6D"/>
    <w:rsid w:val="00F33080"/>
    <w:rsid w:val="00F3584A"/>
    <w:rsid w:val="00F3695F"/>
    <w:rsid w:val="00F42B11"/>
    <w:rsid w:val="00F42DB0"/>
    <w:rsid w:val="00F43152"/>
    <w:rsid w:val="00F439A6"/>
    <w:rsid w:val="00F47010"/>
    <w:rsid w:val="00F51D63"/>
    <w:rsid w:val="00F538D2"/>
    <w:rsid w:val="00F54845"/>
    <w:rsid w:val="00F54BA2"/>
    <w:rsid w:val="00F54ED5"/>
    <w:rsid w:val="00F5659A"/>
    <w:rsid w:val="00F61669"/>
    <w:rsid w:val="00F62AC7"/>
    <w:rsid w:val="00F630C1"/>
    <w:rsid w:val="00F641FA"/>
    <w:rsid w:val="00F653AF"/>
    <w:rsid w:val="00F659CD"/>
    <w:rsid w:val="00F65F38"/>
    <w:rsid w:val="00F661D3"/>
    <w:rsid w:val="00F66995"/>
    <w:rsid w:val="00F705C0"/>
    <w:rsid w:val="00F707F1"/>
    <w:rsid w:val="00F711B2"/>
    <w:rsid w:val="00F71530"/>
    <w:rsid w:val="00F7252F"/>
    <w:rsid w:val="00F731BD"/>
    <w:rsid w:val="00F735F7"/>
    <w:rsid w:val="00F7386E"/>
    <w:rsid w:val="00F745FE"/>
    <w:rsid w:val="00F74FC3"/>
    <w:rsid w:val="00F7688F"/>
    <w:rsid w:val="00F77B1F"/>
    <w:rsid w:val="00F846DD"/>
    <w:rsid w:val="00F84EFA"/>
    <w:rsid w:val="00F87222"/>
    <w:rsid w:val="00F90A92"/>
    <w:rsid w:val="00F91934"/>
    <w:rsid w:val="00F91A8C"/>
    <w:rsid w:val="00F91A99"/>
    <w:rsid w:val="00F91CDC"/>
    <w:rsid w:val="00F92663"/>
    <w:rsid w:val="00F929C4"/>
    <w:rsid w:val="00F930CA"/>
    <w:rsid w:val="00F93BBB"/>
    <w:rsid w:val="00F93F8C"/>
    <w:rsid w:val="00F9596D"/>
    <w:rsid w:val="00F962DA"/>
    <w:rsid w:val="00F9744A"/>
    <w:rsid w:val="00F9760C"/>
    <w:rsid w:val="00FA0DB0"/>
    <w:rsid w:val="00FA161C"/>
    <w:rsid w:val="00FA3EB0"/>
    <w:rsid w:val="00FA3ECA"/>
    <w:rsid w:val="00FA44E5"/>
    <w:rsid w:val="00FA4F9A"/>
    <w:rsid w:val="00FA5278"/>
    <w:rsid w:val="00FA60FB"/>
    <w:rsid w:val="00FB0298"/>
    <w:rsid w:val="00FB12F8"/>
    <w:rsid w:val="00FB1C0D"/>
    <w:rsid w:val="00FB2344"/>
    <w:rsid w:val="00FB490D"/>
    <w:rsid w:val="00FB74BD"/>
    <w:rsid w:val="00FC00C6"/>
    <w:rsid w:val="00FC29AA"/>
    <w:rsid w:val="00FC2C65"/>
    <w:rsid w:val="00FC2C88"/>
    <w:rsid w:val="00FC37C0"/>
    <w:rsid w:val="00FC39A5"/>
    <w:rsid w:val="00FC3A94"/>
    <w:rsid w:val="00FC6248"/>
    <w:rsid w:val="00FC69CA"/>
    <w:rsid w:val="00FC6AEB"/>
    <w:rsid w:val="00FD0322"/>
    <w:rsid w:val="00FD0C6D"/>
    <w:rsid w:val="00FD1957"/>
    <w:rsid w:val="00FD4445"/>
    <w:rsid w:val="00FD4F89"/>
    <w:rsid w:val="00FD7EFF"/>
    <w:rsid w:val="00FE084C"/>
    <w:rsid w:val="00FE0F69"/>
    <w:rsid w:val="00FE3AA6"/>
    <w:rsid w:val="00FE4546"/>
    <w:rsid w:val="00FE49D6"/>
    <w:rsid w:val="00FE4AFC"/>
    <w:rsid w:val="00FE5D49"/>
    <w:rsid w:val="00FE66A8"/>
    <w:rsid w:val="00FE7081"/>
    <w:rsid w:val="00FE76C4"/>
    <w:rsid w:val="00FF2B36"/>
    <w:rsid w:val="00FF3084"/>
    <w:rsid w:val="00FF3289"/>
    <w:rsid w:val="00FF4025"/>
    <w:rsid w:val="00FF573D"/>
    <w:rsid w:val="00FF710F"/>
    <w:rsid w:val="00FF73D8"/>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75"/>
    <w:rPr>
      <w:rFonts w:ascii="Arial" w:hAnsi="Arial"/>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71455"/>
    <w:rPr>
      <w:rFonts w:ascii="Tahoma" w:hAnsi="Tahoma" w:cs="Tahoma"/>
      <w:sz w:val="16"/>
      <w:szCs w:val="16"/>
    </w:rPr>
  </w:style>
  <w:style w:type="character" w:customStyle="1" w:styleId="BalloonTextChar">
    <w:name w:val="Balloon Text Char"/>
    <w:basedOn w:val="DefaultParagraphFont"/>
    <w:link w:val="BalloonText"/>
    <w:uiPriority w:val="99"/>
    <w:locked/>
    <w:rsid w:val="00D71455"/>
    <w:rPr>
      <w:rFonts w:ascii="Tahoma" w:hAnsi="Tahoma" w:cs="Tahoma"/>
      <w:sz w:val="16"/>
      <w:szCs w:val="16"/>
    </w:rPr>
  </w:style>
  <w:style w:type="paragraph" w:customStyle="1" w:styleId="StyleEYBodytextwithparaspaceCentered">
    <w:name w:val="Style EY Body text (with para space) + Centered"/>
    <w:basedOn w:val="EYBodytextwithparaspace"/>
    <w:uiPriority w:val="99"/>
    <w:rsid w:val="00497374"/>
    <w:pPr>
      <w:jc w:val="center"/>
    </w:pPr>
    <w:rPr>
      <w:szCs w:val="20"/>
    </w:rPr>
  </w:style>
  <w:style w:type="paragraph" w:styleId="Header">
    <w:name w:val="header"/>
    <w:basedOn w:val="Normal"/>
    <w:link w:val="HeaderChar"/>
    <w:uiPriority w:val="99"/>
    <w:rsid w:val="007753F0"/>
    <w:pPr>
      <w:tabs>
        <w:tab w:val="center" w:pos="4320"/>
        <w:tab w:val="right" w:pos="8640"/>
      </w:tabs>
    </w:pPr>
  </w:style>
  <w:style w:type="character" w:customStyle="1" w:styleId="HeaderChar">
    <w:name w:val="Header Char"/>
    <w:basedOn w:val="DefaultParagraphFont"/>
    <w:link w:val="Header"/>
    <w:uiPriority w:val="99"/>
    <w:semiHidden/>
    <w:rsid w:val="005E5AC6"/>
    <w:rPr>
      <w:rFonts w:ascii="Arial" w:hAnsi="Arial"/>
      <w:sz w:val="20"/>
      <w:szCs w:val="24"/>
      <w:lang w:val="en-US" w:eastAsia="en-US"/>
    </w:rPr>
  </w:style>
  <w:style w:type="table" w:styleId="TableGrid">
    <w:name w:val="Table Grid"/>
    <w:basedOn w:val="TableNormal"/>
    <w:uiPriority w:val="59"/>
    <w:rsid w:val="009857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uiPriority w:val="99"/>
    <w:rsid w:val="00883001"/>
    <w:pPr>
      <w:suppressAutoHyphens/>
    </w:pPr>
    <w:rPr>
      <w:rFonts w:ascii="Arial" w:hAnsi="Arial"/>
      <w:kern w:val="12"/>
      <w:sz w:val="11"/>
      <w:szCs w:val="24"/>
      <w:lang w:val="en-US" w:eastAsia="en-US"/>
    </w:rPr>
  </w:style>
  <w:style w:type="paragraph" w:customStyle="1" w:styleId="EYBodytextsolid">
    <w:name w:val="EY Body text (solid)"/>
    <w:basedOn w:val="EYNormal"/>
    <w:uiPriority w:val="99"/>
    <w:rsid w:val="003B5B34"/>
    <w:pPr>
      <w:tabs>
        <w:tab w:val="left" w:pos="907"/>
      </w:tabs>
      <w:spacing w:line="500" w:lineRule="atLeast"/>
    </w:pPr>
    <w:rPr>
      <w:sz w:val="20"/>
    </w:rPr>
  </w:style>
  <w:style w:type="paragraph" w:customStyle="1" w:styleId="EYBoldsubjectheading">
    <w:name w:val="EY Bold subject heading"/>
    <w:basedOn w:val="EYNormal"/>
    <w:uiPriority w:val="99"/>
    <w:rsid w:val="00883001"/>
    <w:pPr>
      <w:spacing w:before="480" w:line="260" w:lineRule="atLeast"/>
    </w:pPr>
    <w:rPr>
      <w:b/>
      <w:sz w:val="26"/>
    </w:rPr>
  </w:style>
  <w:style w:type="paragraph" w:customStyle="1" w:styleId="EYFooterinfo">
    <w:name w:val="EY Footer info"/>
    <w:basedOn w:val="EYNormal"/>
    <w:uiPriority w:val="99"/>
    <w:rsid w:val="00F661D3"/>
    <w:rPr>
      <w:color w:val="808080"/>
    </w:rPr>
  </w:style>
  <w:style w:type="paragraph" w:customStyle="1" w:styleId="EYDocumentpromptsbold">
    <w:name w:val="EY Document prompts (bold)"/>
    <w:basedOn w:val="EYDocumentprompts"/>
    <w:uiPriority w:val="99"/>
    <w:rsid w:val="004334A8"/>
    <w:rPr>
      <w:rFonts w:ascii="Arial Bold" w:hAnsi="Arial Bold"/>
      <w:b/>
    </w:rPr>
  </w:style>
  <w:style w:type="paragraph" w:customStyle="1" w:styleId="EYContinuationheader">
    <w:name w:val="EY Continuation header"/>
    <w:basedOn w:val="EYBodytextsolid"/>
    <w:uiPriority w:val="99"/>
    <w:rsid w:val="008E4451"/>
    <w:pPr>
      <w:tabs>
        <w:tab w:val="clear" w:pos="907"/>
        <w:tab w:val="left" w:pos="2495"/>
      </w:tabs>
      <w:spacing w:line="260" w:lineRule="atLeast"/>
    </w:pPr>
  </w:style>
  <w:style w:type="paragraph" w:styleId="Footer">
    <w:name w:val="footer"/>
    <w:basedOn w:val="Normal"/>
    <w:link w:val="FooterChar"/>
    <w:uiPriority w:val="99"/>
    <w:rsid w:val="007753F0"/>
    <w:pPr>
      <w:tabs>
        <w:tab w:val="center" w:pos="4320"/>
        <w:tab w:val="right" w:pos="8640"/>
      </w:tabs>
    </w:pPr>
  </w:style>
  <w:style w:type="character" w:customStyle="1" w:styleId="FooterChar">
    <w:name w:val="Footer Char"/>
    <w:basedOn w:val="DefaultParagraphFont"/>
    <w:link w:val="Footer"/>
    <w:uiPriority w:val="99"/>
    <w:semiHidden/>
    <w:rsid w:val="005E5AC6"/>
    <w:rPr>
      <w:rFonts w:ascii="Arial" w:hAnsi="Arial"/>
      <w:sz w:val="20"/>
      <w:szCs w:val="24"/>
      <w:lang w:val="en-US" w:eastAsia="en-US"/>
    </w:rPr>
  </w:style>
  <w:style w:type="character" w:customStyle="1" w:styleId="EYBodytextwithparaspaceChar">
    <w:name w:val="EY Body text (with para space) Char"/>
    <w:basedOn w:val="DefaultParagraphFont"/>
    <w:link w:val="EYBodytextwithparaspace"/>
    <w:uiPriority w:val="99"/>
    <w:locked/>
    <w:rsid w:val="00883001"/>
    <w:rPr>
      <w:rFonts w:ascii="Arial" w:hAnsi="Arial" w:cs="Times New Roman"/>
      <w:kern w:val="12"/>
      <w:sz w:val="24"/>
      <w:szCs w:val="24"/>
    </w:rPr>
  </w:style>
  <w:style w:type="paragraph" w:customStyle="1" w:styleId="EYDocumenttitle">
    <w:name w:val="EY Document title"/>
    <w:basedOn w:val="EYBodytextsolid"/>
    <w:next w:val="EYBodytextsolid"/>
    <w:uiPriority w:val="99"/>
    <w:rsid w:val="0036047F"/>
    <w:pPr>
      <w:tabs>
        <w:tab w:val="clear" w:pos="907"/>
      </w:tabs>
      <w:spacing w:line="240" w:lineRule="auto"/>
    </w:pPr>
    <w:rPr>
      <w:spacing w:val="-4"/>
      <w:sz w:val="36"/>
    </w:rPr>
  </w:style>
  <w:style w:type="paragraph" w:customStyle="1" w:styleId="EYDocumentprompts">
    <w:name w:val="EY Document prompts"/>
    <w:basedOn w:val="EYNormal"/>
    <w:uiPriority w:val="99"/>
    <w:rsid w:val="003B5B34"/>
    <w:pPr>
      <w:spacing w:line="260" w:lineRule="atLeast"/>
    </w:pPr>
    <w:rPr>
      <w:sz w:val="20"/>
    </w:rPr>
  </w:style>
  <w:style w:type="paragraph" w:customStyle="1" w:styleId="EYBodytextsubhead1">
    <w:name w:val="EY Body text subhead 1"/>
    <w:basedOn w:val="EYBodytextsolid"/>
    <w:rsid w:val="003B5B34"/>
    <w:pPr>
      <w:spacing w:after="200"/>
    </w:pPr>
    <w:rPr>
      <w:rFonts w:ascii="Arial Bold" w:hAnsi="Arial Bold"/>
      <w:b/>
    </w:rPr>
  </w:style>
  <w:style w:type="paragraph" w:customStyle="1" w:styleId="EYBodytextsubhead2">
    <w:name w:val="EY Body text subhead 2"/>
    <w:basedOn w:val="EYBodytextsolid"/>
    <w:uiPriority w:val="99"/>
    <w:rsid w:val="003B5B34"/>
    <w:pPr>
      <w:spacing w:after="200"/>
    </w:pPr>
    <w:rPr>
      <w:rFonts w:ascii="Arial Bold" w:hAnsi="Arial Bold"/>
      <w:b/>
      <w:i/>
    </w:rPr>
  </w:style>
  <w:style w:type="paragraph" w:customStyle="1" w:styleId="EYBodytextwithparaspace">
    <w:name w:val="EY Body text (with para space)"/>
    <w:basedOn w:val="EYBodytextsolid"/>
    <w:link w:val="EYBodytextwithparaspaceChar"/>
    <w:rsid w:val="00883001"/>
    <w:pPr>
      <w:spacing w:after="400" w:line="360" w:lineRule="auto"/>
    </w:pPr>
  </w:style>
  <w:style w:type="paragraph" w:customStyle="1" w:styleId="EYDate">
    <w:name w:val="EY Date"/>
    <w:basedOn w:val="EYDocumentprompts"/>
    <w:uiPriority w:val="99"/>
    <w:rsid w:val="003A5E12"/>
  </w:style>
  <w:style w:type="paragraph" w:customStyle="1" w:styleId="EYBulletedtext1">
    <w:name w:val="EY Bulleted text 1"/>
    <w:basedOn w:val="EYBodytextwithparaspace"/>
    <w:link w:val="EYBulletedtext1Char"/>
    <w:uiPriority w:val="99"/>
    <w:rsid w:val="00842CB7"/>
    <w:pPr>
      <w:numPr>
        <w:numId w:val="4"/>
      </w:numPr>
      <w:tabs>
        <w:tab w:val="clear" w:pos="907"/>
      </w:tabs>
      <w:spacing w:after="0"/>
    </w:pPr>
  </w:style>
  <w:style w:type="paragraph" w:customStyle="1" w:styleId="EYBulletedtext2">
    <w:name w:val="EY Bulleted text 2"/>
    <w:basedOn w:val="EYBodytextwithparaspace"/>
    <w:uiPriority w:val="99"/>
    <w:rsid w:val="00842CB7"/>
    <w:pPr>
      <w:numPr>
        <w:numId w:val="2"/>
      </w:numPr>
      <w:tabs>
        <w:tab w:val="clear" w:pos="907"/>
      </w:tabs>
      <w:spacing w:after="0"/>
      <w:ind w:left="578" w:hanging="289"/>
    </w:pPr>
  </w:style>
  <w:style w:type="paragraph" w:styleId="HTMLPreformatted">
    <w:name w:val="HTML Preformatted"/>
    <w:basedOn w:val="Normal"/>
    <w:link w:val="HTMLPreformattedChar"/>
    <w:uiPriority w:val="99"/>
    <w:rsid w:val="00845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E5AC6"/>
    <w:rPr>
      <w:rFonts w:ascii="Courier New" w:hAnsi="Courier New" w:cs="Courier New"/>
      <w:sz w:val="20"/>
      <w:szCs w:val="20"/>
      <w:lang w:val="en-US" w:eastAsia="en-US"/>
    </w:rPr>
  </w:style>
  <w:style w:type="paragraph" w:customStyle="1" w:styleId="EYLegal">
    <w:name w:val="EY Legal"/>
    <w:basedOn w:val="AboutEY"/>
    <w:uiPriority w:val="99"/>
    <w:rsid w:val="003C6D53"/>
    <w:pPr>
      <w:spacing w:after="120"/>
    </w:pPr>
    <w:rPr>
      <w:sz w:val="16"/>
    </w:rPr>
  </w:style>
  <w:style w:type="paragraph" w:customStyle="1" w:styleId="Legalcopy">
    <w:name w:val="Legal copy"/>
    <w:basedOn w:val="Normal"/>
    <w:uiPriority w:val="99"/>
    <w:rsid w:val="003C6D53"/>
    <w:rPr>
      <w:sz w:val="16"/>
    </w:rPr>
  </w:style>
  <w:style w:type="paragraph" w:customStyle="1" w:styleId="AboutEY">
    <w:name w:val="About EY"/>
    <w:basedOn w:val="EYBodytextwithparaspace"/>
    <w:uiPriority w:val="99"/>
    <w:rsid w:val="00883001"/>
    <w:pPr>
      <w:spacing w:after="240" w:line="240" w:lineRule="auto"/>
    </w:pPr>
  </w:style>
  <w:style w:type="paragraph" w:styleId="NormalWeb">
    <w:name w:val="Normal (Web)"/>
    <w:basedOn w:val="Normal"/>
    <w:uiPriority w:val="99"/>
    <w:rsid w:val="00845F52"/>
    <w:pPr>
      <w:spacing w:before="100" w:beforeAutospacing="1" w:after="100" w:afterAutospacing="1"/>
    </w:pPr>
  </w:style>
  <w:style w:type="character" w:styleId="Hyperlink">
    <w:name w:val="Hyperlink"/>
    <w:basedOn w:val="DefaultParagraphFont"/>
    <w:uiPriority w:val="99"/>
    <w:rsid w:val="00DE208B"/>
    <w:rPr>
      <w:rFonts w:cs="Times New Roman"/>
      <w:color w:val="0000FF"/>
      <w:u w:val="single"/>
    </w:rPr>
  </w:style>
  <w:style w:type="paragraph" w:customStyle="1" w:styleId="StyleEYBodytextwithparaspaceCentered1">
    <w:name w:val="Style EY Body text (with para space) + Centered1"/>
    <w:basedOn w:val="EYBodytextwithparaspace"/>
    <w:uiPriority w:val="99"/>
    <w:rsid w:val="00883001"/>
    <w:pPr>
      <w:jc w:val="center"/>
    </w:pPr>
    <w:rPr>
      <w:szCs w:val="20"/>
    </w:rPr>
  </w:style>
  <w:style w:type="paragraph" w:customStyle="1" w:styleId="EYBusinessaddress">
    <w:name w:val="EY Business address"/>
    <w:basedOn w:val="EYNormal"/>
    <w:uiPriority w:val="99"/>
    <w:rsid w:val="00F661D3"/>
    <w:pPr>
      <w:spacing w:line="170" w:lineRule="exact"/>
    </w:pPr>
    <w:rPr>
      <w:color w:val="808080"/>
      <w:sz w:val="15"/>
    </w:rPr>
  </w:style>
  <w:style w:type="character" w:customStyle="1" w:styleId="EYBulletedtext1Char">
    <w:name w:val="EY Bulleted text 1 Char"/>
    <w:basedOn w:val="DefaultParagraphFont"/>
    <w:link w:val="EYBulletedtext1"/>
    <w:uiPriority w:val="99"/>
    <w:locked/>
    <w:rsid w:val="00842CB7"/>
    <w:rPr>
      <w:rFonts w:ascii="Arial" w:hAnsi="Arial" w:cs="Times New Roman"/>
      <w:kern w:val="12"/>
      <w:sz w:val="24"/>
      <w:szCs w:val="24"/>
    </w:rPr>
  </w:style>
  <w:style w:type="paragraph" w:customStyle="1" w:styleId="EYBodytextnoparaspace">
    <w:name w:val="EY Body text (no para space)"/>
    <w:basedOn w:val="EYNormal"/>
    <w:uiPriority w:val="99"/>
    <w:rsid w:val="00842CB7"/>
    <w:pPr>
      <w:tabs>
        <w:tab w:val="left" w:pos="907"/>
      </w:tabs>
      <w:spacing w:line="360" w:lineRule="auto"/>
    </w:pPr>
    <w:rPr>
      <w:sz w:val="20"/>
    </w:rPr>
  </w:style>
  <w:style w:type="paragraph" w:customStyle="1" w:styleId="Bullet">
    <w:name w:val="Bullet"/>
    <w:basedOn w:val="EYBulletedtext1"/>
    <w:link w:val="BulletChar"/>
    <w:uiPriority w:val="99"/>
    <w:rsid w:val="00C92991"/>
    <w:pPr>
      <w:tabs>
        <w:tab w:val="left" w:pos="270"/>
      </w:tabs>
      <w:ind w:left="270" w:hanging="270"/>
    </w:pPr>
  </w:style>
  <w:style w:type="character" w:customStyle="1" w:styleId="BulletChar">
    <w:name w:val="Bullet Char"/>
    <w:basedOn w:val="EYBulletedtext1Char"/>
    <w:link w:val="Bullet"/>
    <w:uiPriority w:val="99"/>
    <w:locked/>
    <w:rsid w:val="00C92991"/>
    <w:rPr>
      <w:rFonts w:ascii="Arial" w:hAnsi="Arial" w:cs="Times New Roman"/>
      <w:kern w:val="12"/>
      <w:sz w:val="24"/>
      <w:szCs w:val="24"/>
    </w:rPr>
  </w:style>
  <w:style w:type="paragraph" w:customStyle="1" w:styleId="EYHeading2">
    <w:name w:val="EY Heading 2"/>
    <w:basedOn w:val="Normal"/>
    <w:next w:val="EYBodytextwithparaspace"/>
    <w:link w:val="EYHeading2Char"/>
    <w:uiPriority w:val="99"/>
    <w:rsid w:val="00F00916"/>
    <w:pPr>
      <w:keepNext/>
      <w:suppressAutoHyphens/>
      <w:spacing w:before="120" w:after="120"/>
    </w:pPr>
    <w:rPr>
      <w:b/>
      <w:kern w:val="12"/>
      <w:sz w:val="22"/>
      <w:lang w:val="en-GB"/>
    </w:rPr>
  </w:style>
  <w:style w:type="character" w:customStyle="1" w:styleId="EYHeading2Char">
    <w:name w:val="EY Heading 2 Char"/>
    <w:basedOn w:val="DefaultParagraphFont"/>
    <w:link w:val="EYHeading2"/>
    <w:uiPriority w:val="99"/>
    <w:locked/>
    <w:rsid w:val="00F00916"/>
    <w:rPr>
      <w:rFonts w:ascii="Arial" w:hAnsi="Arial" w:cs="Times New Roman"/>
      <w:b/>
      <w:kern w:val="12"/>
      <w:sz w:val="24"/>
      <w:szCs w:val="24"/>
      <w:lang w:val="en-GB"/>
    </w:rPr>
  </w:style>
  <w:style w:type="character" w:styleId="CommentReference">
    <w:name w:val="annotation reference"/>
    <w:basedOn w:val="DefaultParagraphFont"/>
    <w:uiPriority w:val="99"/>
    <w:rsid w:val="008061A7"/>
    <w:rPr>
      <w:rFonts w:cs="Times New Roman"/>
      <w:sz w:val="16"/>
      <w:szCs w:val="16"/>
    </w:rPr>
  </w:style>
  <w:style w:type="paragraph" w:styleId="CommentText">
    <w:name w:val="annotation text"/>
    <w:basedOn w:val="Normal"/>
    <w:link w:val="CommentTextChar"/>
    <w:uiPriority w:val="99"/>
    <w:rsid w:val="008061A7"/>
    <w:rPr>
      <w:szCs w:val="20"/>
    </w:rPr>
  </w:style>
  <w:style w:type="character" w:customStyle="1" w:styleId="CommentTextChar">
    <w:name w:val="Comment Text Char"/>
    <w:basedOn w:val="DefaultParagraphFont"/>
    <w:link w:val="CommentText"/>
    <w:uiPriority w:val="99"/>
    <w:locked/>
    <w:rsid w:val="008061A7"/>
    <w:rPr>
      <w:rFonts w:ascii="Arial" w:hAnsi="Arial" w:cs="Times New Roman"/>
    </w:rPr>
  </w:style>
  <w:style w:type="paragraph" w:styleId="CommentSubject">
    <w:name w:val="annotation subject"/>
    <w:basedOn w:val="CommentText"/>
    <w:next w:val="CommentText"/>
    <w:link w:val="CommentSubjectChar"/>
    <w:uiPriority w:val="99"/>
    <w:rsid w:val="008061A7"/>
    <w:rPr>
      <w:b/>
      <w:bCs/>
    </w:rPr>
  </w:style>
  <w:style w:type="character" w:customStyle="1" w:styleId="CommentSubjectChar">
    <w:name w:val="Comment Subject Char"/>
    <w:basedOn w:val="CommentTextChar"/>
    <w:link w:val="CommentSubject"/>
    <w:uiPriority w:val="99"/>
    <w:locked/>
    <w:rsid w:val="008061A7"/>
    <w:rPr>
      <w:rFonts w:ascii="Arial" w:hAnsi="Arial" w:cs="Times New Roman"/>
      <w:b/>
      <w:bCs/>
    </w:rPr>
  </w:style>
  <w:style w:type="paragraph" w:styleId="ListParagraph">
    <w:name w:val="List Paragraph"/>
    <w:basedOn w:val="Normal"/>
    <w:qFormat/>
    <w:rsid w:val="002B5B60"/>
    <w:pPr>
      <w:ind w:left="720"/>
      <w:contextualSpacing/>
    </w:pPr>
    <w:rPr>
      <w:rFonts w:ascii="Times New Roman" w:hAnsi="Times New Roman"/>
      <w:sz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75"/>
    <w:rPr>
      <w:rFonts w:ascii="Arial" w:hAnsi="Arial"/>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71455"/>
    <w:rPr>
      <w:rFonts w:ascii="Tahoma" w:hAnsi="Tahoma" w:cs="Tahoma"/>
      <w:sz w:val="16"/>
      <w:szCs w:val="16"/>
    </w:rPr>
  </w:style>
  <w:style w:type="character" w:customStyle="1" w:styleId="BalloonTextChar">
    <w:name w:val="Balloon Text Char"/>
    <w:basedOn w:val="DefaultParagraphFont"/>
    <w:link w:val="BalloonText"/>
    <w:uiPriority w:val="99"/>
    <w:locked/>
    <w:rsid w:val="00D71455"/>
    <w:rPr>
      <w:rFonts w:ascii="Tahoma" w:hAnsi="Tahoma" w:cs="Tahoma"/>
      <w:sz w:val="16"/>
      <w:szCs w:val="16"/>
    </w:rPr>
  </w:style>
  <w:style w:type="paragraph" w:customStyle="1" w:styleId="StyleEYBodytextwithparaspaceCentered">
    <w:name w:val="Style EY Body text (with para space) + Centered"/>
    <w:basedOn w:val="EYBodytextwithparaspace"/>
    <w:uiPriority w:val="99"/>
    <w:rsid w:val="00497374"/>
    <w:pPr>
      <w:jc w:val="center"/>
    </w:pPr>
    <w:rPr>
      <w:szCs w:val="20"/>
    </w:rPr>
  </w:style>
  <w:style w:type="paragraph" w:styleId="Header">
    <w:name w:val="header"/>
    <w:basedOn w:val="Normal"/>
    <w:link w:val="HeaderChar"/>
    <w:uiPriority w:val="99"/>
    <w:rsid w:val="007753F0"/>
    <w:pPr>
      <w:tabs>
        <w:tab w:val="center" w:pos="4320"/>
        <w:tab w:val="right" w:pos="8640"/>
      </w:tabs>
    </w:pPr>
  </w:style>
  <w:style w:type="character" w:customStyle="1" w:styleId="HeaderChar">
    <w:name w:val="Header Char"/>
    <w:basedOn w:val="DefaultParagraphFont"/>
    <w:link w:val="Header"/>
    <w:uiPriority w:val="99"/>
    <w:semiHidden/>
    <w:rsid w:val="005E5AC6"/>
    <w:rPr>
      <w:rFonts w:ascii="Arial" w:hAnsi="Arial"/>
      <w:sz w:val="20"/>
      <w:szCs w:val="24"/>
      <w:lang w:val="en-US" w:eastAsia="en-US"/>
    </w:rPr>
  </w:style>
  <w:style w:type="table" w:styleId="TableGrid">
    <w:name w:val="Table Grid"/>
    <w:basedOn w:val="TableNormal"/>
    <w:uiPriority w:val="59"/>
    <w:rsid w:val="009857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uiPriority w:val="99"/>
    <w:rsid w:val="00883001"/>
    <w:pPr>
      <w:suppressAutoHyphens/>
    </w:pPr>
    <w:rPr>
      <w:rFonts w:ascii="Arial" w:hAnsi="Arial"/>
      <w:kern w:val="12"/>
      <w:sz w:val="11"/>
      <w:szCs w:val="24"/>
      <w:lang w:val="en-US" w:eastAsia="en-US"/>
    </w:rPr>
  </w:style>
  <w:style w:type="paragraph" w:customStyle="1" w:styleId="EYBodytextsolid">
    <w:name w:val="EY Body text (solid)"/>
    <w:basedOn w:val="EYNormal"/>
    <w:uiPriority w:val="99"/>
    <w:rsid w:val="003B5B34"/>
    <w:pPr>
      <w:tabs>
        <w:tab w:val="left" w:pos="907"/>
      </w:tabs>
      <w:spacing w:line="500" w:lineRule="atLeast"/>
    </w:pPr>
    <w:rPr>
      <w:sz w:val="20"/>
    </w:rPr>
  </w:style>
  <w:style w:type="paragraph" w:customStyle="1" w:styleId="EYBoldsubjectheading">
    <w:name w:val="EY Bold subject heading"/>
    <w:basedOn w:val="EYNormal"/>
    <w:uiPriority w:val="99"/>
    <w:rsid w:val="00883001"/>
    <w:pPr>
      <w:spacing w:before="480" w:line="260" w:lineRule="atLeast"/>
    </w:pPr>
    <w:rPr>
      <w:b/>
      <w:sz w:val="26"/>
    </w:rPr>
  </w:style>
  <w:style w:type="paragraph" w:customStyle="1" w:styleId="EYFooterinfo">
    <w:name w:val="EY Footer info"/>
    <w:basedOn w:val="EYNormal"/>
    <w:uiPriority w:val="99"/>
    <w:rsid w:val="00F661D3"/>
    <w:rPr>
      <w:color w:val="808080"/>
    </w:rPr>
  </w:style>
  <w:style w:type="paragraph" w:customStyle="1" w:styleId="EYDocumentpromptsbold">
    <w:name w:val="EY Document prompts (bold)"/>
    <w:basedOn w:val="EYDocumentprompts"/>
    <w:uiPriority w:val="99"/>
    <w:rsid w:val="004334A8"/>
    <w:rPr>
      <w:rFonts w:ascii="Arial Bold" w:hAnsi="Arial Bold"/>
      <w:b/>
    </w:rPr>
  </w:style>
  <w:style w:type="paragraph" w:customStyle="1" w:styleId="EYContinuationheader">
    <w:name w:val="EY Continuation header"/>
    <w:basedOn w:val="EYBodytextsolid"/>
    <w:uiPriority w:val="99"/>
    <w:rsid w:val="008E4451"/>
    <w:pPr>
      <w:tabs>
        <w:tab w:val="clear" w:pos="907"/>
        <w:tab w:val="left" w:pos="2495"/>
      </w:tabs>
      <w:spacing w:line="260" w:lineRule="atLeast"/>
    </w:pPr>
  </w:style>
  <w:style w:type="paragraph" w:styleId="Footer">
    <w:name w:val="footer"/>
    <w:basedOn w:val="Normal"/>
    <w:link w:val="FooterChar"/>
    <w:uiPriority w:val="99"/>
    <w:rsid w:val="007753F0"/>
    <w:pPr>
      <w:tabs>
        <w:tab w:val="center" w:pos="4320"/>
        <w:tab w:val="right" w:pos="8640"/>
      </w:tabs>
    </w:pPr>
  </w:style>
  <w:style w:type="character" w:customStyle="1" w:styleId="FooterChar">
    <w:name w:val="Footer Char"/>
    <w:basedOn w:val="DefaultParagraphFont"/>
    <w:link w:val="Footer"/>
    <w:uiPriority w:val="99"/>
    <w:semiHidden/>
    <w:rsid w:val="005E5AC6"/>
    <w:rPr>
      <w:rFonts w:ascii="Arial" w:hAnsi="Arial"/>
      <w:sz w:val="20"/>
      <w:szCs w:val="24"/>
      <w:lang w:val="en-US" w:eastAsia="en-US"/>
    </w:rPr>
  </w:style>
  <w:style w:type="character" w:customStyle="1" w:styleId="EYBodytextwithparaspaceChar">
    <w:name w:val="EY Body text (with para space) Char"/>
    <w:basedOn w:val="DefaultParagraphFont"/>
    <w:link w:val="EYBodytextwithparaspace"/>
    <w:uiPriority w:val="99"/>
    <w:locked/>
    <w:rsid w:val="00883001"/>
    <w:rPr>
      <w:rFonts w:ascii="Arial" w:hAnsi="Arial" w:cs="Times New Roman"/>
      <w:kern w:val="12"/>
      <w:sz w:val="24"/>
      <w:szCs w:val="24"/>
    </w:rPr>
  </w:style>
  <w:style w:type="paragraph" w:customStyle="1" w:styleId="EYDocumenttitle">
    <w:name w:val="EY Document title"/>
    <w:basedOn w:val="EYBodytextsolid"/>
    <w:next w:val="EYBodytextsolid"/>
    <w:uiPriority w:val="99"/>
    <w:rsid w:val="0036047F"/>
    <w:pPr>
      <w:tabs>
        <w:tab w:val="clear" w:pos="907"/>
      </w:tabs>
      <w:spacing w:line="240" w:lineRule="auto"/>
    </w:pPr>
    <w:rPr>
      <w:spacing w:val="-4"/>
      <w:sz w:val="36"/>
    </w:rPr>
  </w:style>
  <w:style w:type="paragraph" w:customStyle="1" w:styleId="EYDocumentprompts">
    <w:name w:val="EY Document prompts"/>
    <w:basedOn w:val="EYNormal"/>
    <w:uiPriority w:val="99"/>
    <w:rsid w:val="003B5B34"/>
    <w:pPr>
      <w:spacing w:line="260" w:lineRule="atLeast"/>
    </w:pPr>
    <w:rPr>
      <w:sz w:val="20"/>
    </w:rPr>
  </w:style>
  <w:style w:type="paragraph" w:customStyle="1" w:styleId="EYBodytextsubhead1">
    <w:name w:val="EY Body text subhead 1"/>
    <w:basedOn w:val="EYBodytextsolid"/>
    <w:rsid w:val="003B5B34"/>
    <w:pPr>
      <w:spacing w:after="200"/>
    </w:pPr>
    <w:rPr>
      <w:rFonts w:ascii="Arial Bold" w:hAnsi="Arial Bold"/>
      <w:b/>
    </w:rPr>
  </w:style>
  <w:style w:type="paragraph" w:customStyle="1" w:styleId="EYBodytextsubhead2">
    <w:name w:val="EY Body text subhead 2"/>
    <w:basedOn w:val="EYBodytextsolid"/>
    <w:uiPriority w:val="99"/>
    <w:rsid w:val="003B5B34"/>
    <w:pPr>
      <w:spacing w:after="200"/>
    </w:pPr>
    <w:rPr>
      <w:rFonts w:ascii="Arial Bold" w:hAnsi="Arial Bold"/>
      <w:b/>
      <w:i/>
    </w:rPr>
  </w:style>
  <w:style w:type="paragraph" w:customStyle="1" w:styleId="EYBodytextwithparaspace">
    <w:name w:val="EY Body text (with para space)"/>
    <w:basedOn w:val="EYBodytextsolid"/>
    <w:link w:val="EYBodytextwithparaspaceChar"/>
    <w:rsid w:val="00883001"/>
    <w:pPr>
      <w:spacing w:after="400" w:line="360" w:lineRule="auto"/>
    </w:pPr>
  </w:style>
  <w:style w:type="paragraph" w:customStyle="1" w:styleId="EYDate">
    <w:name w:val="EY Date"/>
    <w:basedOn w:val="EYDocumentprompts"/>
    <w:uiPriority w:val="99"/>
    <w:rsid w:val="003A5E12"/>
  </w:style>
  <w:style w:type="paragraph" w:customStyle="1" w:styleId="EYBulletedtext1">
    <w:name w:val="EY Bulleted text 1"/>
    <w:basedOn w:val="EYBodytextwithparaspace"/>
    <w:link w:val="EYBulletedtext1Char"/>
    <w:uiPriority w:val="99"/>
    <w:rsid w:val="00842CB7"/>
    <w:pPr>
      <w:numPr>
        <w:numId w:val="4"/>
      </w:numPr>
      <w:tabs>
        <w:tab w:val="clear" w:pos="907"/>
      </w:tabs>
      <w:spacing w:after="0"/>
    </w:pPr>
  </w:style>
  <w:style w:type="paragraph" w:customStyle="1" w:styleId="EYBulletedtext2">
    <w:name w:val="EY Bulleted text 2"/>
    <w:basedOn w:val="EYBodytextwithparaspace"/>
    <w:uiPriority w:val="99"/>
    <w:rsid w:val="00842CB7"/>
    <w:pPr>
      <w:numPr>
        <w:numId w:val="2"/>
      </w:numPr>
      <w:tabs>
        <w:tab w:val="clear" w:pos="907"/>
      </w:tabs>
      <w:spacing w:after="0"/>
      <w:ind w:left="578" w:hanging="289"/>
    </w:pPr>
  </w:style>
  <w:style w:type="paragraph" w:styleId="HTMLPreformatted">
    <w:name w:val="HTML Preformatted"/>
    <w:basedOn w:val="Normal"/>
    <w:link w:val="HTMLPreformattedChar"/>
    <w:uiPriority w:val="99"/>
    <w:rsid w:val="00845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E5AC6"/>
    <w:rPr>
      <w:rFonts w:ascii="Courier New" w:hAnsi="Courier New" w:cs="Courier New"/>
      <w:sz w:val="20"/>
      <w:szCs w:val="20"/>
      <w:lang w:val="en-US" w:eastAsia="en-US"/>
    </w:rPr>
  </w:style>
  <w:style w:type="paragraph" w:customStyle="1" w:styleId="EYLegal">
    <w:name w:val="EY Legal"/>
    <w:basedOn w:val="AboutEY"/>
    <w:uiPriority w:val="99"/>
    <w:rsid w:val="003C6D53"/>
    <w:pPr>
      <w:spacing w:after="120"/>
    </w:pPr>
    <w:rPr>
      <w:sz w:val="16"/>
    </w:rPr>
  </w:style>
  <w:style w:type="paragraph" w:customStyle="1" w:styleId="Legalcopy">
    <w:name w:val="Legal copy"/>
    <w:basedOn w:val="Normal"/>
    <w:uiPriority w:val="99"/>
    <w:rsid w:val="003C6D53"/>
    <w:rPr>
      <w:sz w:val="16"/>
    </w:rPr>
  </w:style>
  <w:style w:type="paragraph" w:customStyle="1" w:styleId="AboutEY">
    <w:name w:val="About EY"/>
    <w:basedOn w:val="EYBodytextwithparaspace"/>
    <w:uiPriority w:val="99"/>
    <w:rsid w:val="00883001"/>
    <w:pPr>
      <w:spacing w:after="240" w:line="240" w:lineRule="auto"/>
    </w:pPr>
  </w:style>
  <w:style w:type="paragraph" w:styleId="NormalWeb">
    <w:name w:val="Normal (Web)"/>
    <w:basedOn w:val="Normal"/>
    <w:uiPriority w:val="99"/>
    <w:rsid w:val="00845F52"/>
    <w:pPr>
      <w:spacing w:before="100" w:beforeAutospacing="1" w:after="100" w:afterAutospacing="1"/>
    </w:pPr>
  </w:style>
  <w:style w:type="character" w:styleId="Hyperlink">
    <w:name w:val="Hyperlink"/>
    <w:basedOn w:val="DefaultParagraphFont"/>
    <w:uiPriority w:val="99"/>
    <w:rsid w:val="00DE208B"/>
    <w:rPr>
      <w:rFonts w:cs="Times New Roman"/>
      <w:color w:val="0000FF"/>
      <w:u w:val="single"/>
    </w:rPr>
  </w:style>
  <w:style w:type="paragraph" w:customStyle="1" w:styleId="StyleEYBodytextwithparaspaceCentered1">
    <w:name w:val="Style EY Body text (with para space) + Centered1"/>
    <w:basedOn w:val="EYBodytextwithparaspace"/>
    <w:uiPriority w:val="99"/>
    <w:rsid w:val="00883001"/>
    <w:pPr>
      <w:jc w:val="center"/>
    </w:pPr>
    <w:rPr>
      <w:szCs w:val="20"/>
    </w:rPr>
  </w:style>
  <w:style w:type="paragraph" w:customStyle="1" w:styleId="EYBusinessaddress">
    <w:name w:val="EY Business address"/>
    <w:basedOn w:val="EYNormal"/>
    <w:uiPriority w:val="99"/>
    <w:rsid w:val="00F661D3"/>
    <w:pPr>
      <w:spacing w:line="170" w:lineRule="exact"/>
    </w:pPr>
    <w:rPr>
      <w:color w:val="808080"/>
      <w:sz w:val="15"/>
    </w:rPr>
  </w:style>
  <w:style w:type="character" w:customStyle="1" w:styleId="EYBulletedtext1Char">
    <w:name w:val="EY Bulleted text 1 Char"/>
    <w:basedOn w:val="DefaultParagraphFont"/>
    <w:link w:val="EYBulletedtext1"/>
    <w:uiPriority w:val="99"/>
    <w:locked/>
    <w:rsid w:val="00842CB7"/>
    <w:rPr>
      <w:rFonts w:ascii="Arial" w:hAnsi="Arial" w:cs="Times New Roman"/>
      <w:kern w:val="12"/>
      <w:sz w:val="24"/>
      <w:szCs w:val="24"/>
    </w:rPr>
  </w:style>
  <w:style w:type="paragraph" w:customStyle="1" w:styleId="EYBodytextnoparaspace">
    <w:name w:val="EY Body text (no para space)"/>
    <w:basedOn w:val="EYNormal"/>
    <w:uiPriority w:val="99"/>
    <w:rsid w:val="00842CB7"/>
    <w:pPr>
      <w:tabs>
        <w:tab w:val="left" w:pos="907"/>
      </w:tabs>
      <w:spacing w:line="360" w:lineRule="auto"/>
    </w:pPr>
    <w:rPr>
      <w:sz w:val="20"/>
    </w:rPr>
  </w:style>
  <w:style w:type="paragraph" w:customStyle="1" w:styleId="Bullet">
    <w:name w:val="Bullet"/>
    <w:basedOn w:val="EYBulletedtext1"/>
    <w:link w:val="BulletChar"/>
    <w:uiPriority w:val="99"/>
    <w:rsid w:val="00C92991"/>
    <w:pPr>
      <w:tabs>
        <w:tab w:val="left" w:pos="270"/>
      </w:tabs>
      <w:ind w:left="270" w:hanging="270"/>
    </w:pPr>
  </w:style>
  <w:style w:type="character" w:customStyle="1" w:styleId="BulletChar">
    <w:name w:val="Bullet Char"/>
    <w:basedOn w:val="EYBulletedtext1Char"/>
    <w:link w:val="Bullet"/>
    <w:uiPriority w:val="99"/>
    <w:locked/>
    <w:rsid w:val="00C92991"/>
    <w:rPr>
      <w:rFonts w:ascii="Arial" w:hAnsi="Arial" w:cs="Times New Roman"/>
      <w:kern w:val="12"/>
      <w:sz w:val="24"/>
      <w:szCs w:val="24"/>
    </w:rPr>
  </w:style>
  <w:style w:type="paragraph" w:customStyle="1" w:styleId="EYHeading2">
    <w:name w:val="EY Heading 2"/>
    <w:basedOn w:val="Normal"/>
    <w:next w:val="EYBodytextwithparaspace"/>
    <w:link w:val="EYHeading2Char"/>
    <w:uiPriority w:val="99"/>
    <w:rsid w:val="00F00916"/>
    <w:pPr>
      <w:keepNext/>
      <w:suppressAutoHyphens/>
      <w:spacing w:before="120" w:after="120"/>
    </w:pPr>
    <w:rPr>
      <w:b/>
      <w:kern w:val="12"/>
      <w:sz w:val="22"/>
      <w:lang w:val="en-GB"/>
    </w:rPr>
  </w:style>
  <w:style w:type="character" w:customStyle="1" w:styleId="EYHeading2Char">
    <w:name w:val="EY Heading 2 Char"/>
    <w:basedOn w:val="DefaultParagraphFont"/>
    <w:link w:val="EYHeading2"/>
    <w:uiPriority w:val="99"/>
    <w:locked/>
    <w:rsid w:val="00F00916"/>
    <w:rPr>
      <w:rFonts w:ascii="Arial" w:hAnsi="Arial" w:cs="Times New Roman"/>
      <w:b/>
      <w:kern w:val="12"/>
      <w:sz w:val="24"/>
      <w:szCs w:val="24"/>
      <w:lang w:val="en-GB"/>
    </w:rPr>
  </w:style>
  <w:style w:type="character" w:styleId="CommentReference">
    <w:name w:val="annotation reference"/>
    <w:basedOn w:val="DefaultParagraphFont"/>
    <w:uiPriority w:val="99"/>
    <w:rsid w:val="008061A7"/>
    <w:rPr>
      <w:rFonts w:cs="Times New Roman"/>
      <w:sz w:val="16"/>
      <w:szCs w:val="16"/>
    </w:rPr>
  </w:style>
  <w:style w:type="paragraph" w:styleId="CommentText">
    <w:name w:val="annotation text"/>
    <w:basedOn w:val="Normal"/>
    <w:link w:val="CommentTextChar"/>
    <w:uiPriority w:val="99"/>
    <w:rsid w:val="008061A7"/>
    <w:rPr>
      <w:szCs w:val="20"/>
    </w:rPr>
  </w:style>
  <w:style w:type="character" w:customStyle="1" w:styleId="CommentTextChar">
    <w:name w:val="Comment Text Char"/>
    <w:basedOn w:val="DefaultParagraphFont"/>
    <w:link w:val="CommentText"/>
    <w:uiPriority w:val="99"/>
    <w:locked/>
    <w:rsid w:val="008061A7"/>
    <w:rPr>
      <w:rFonts w:ascii="Arial" w:hAnsi="Arial" w:cs="Times New Roman"/>
    </w:rPr>
  </w:style>
  <w:style w:type="paragraph" w:styleId="CommentSubject">
    <w:name w:val="annotation subject"/>
    <w:basedOn w:val="CommentText"/>
    <w:next w:val="CommentText"/>
    <w:link w:val="CommentSubjectChar"/>
    <w:uiPriority w:val="99"/>
    <w:rsid w:val="008061A7"/>
    <w:rPr>
      <w:b/>
      <w:bCs/>
    </w:rPr>
  </w:style>
  <w:style w:type="character" w:customStyle="1" w:styleId="CommentSubjectChar">
    <w:name w:val="Comment Subject Char"/>
    <w:basedOn w:val="CommentTextChar"/>
    <w:link w:val="CommentSubject"/>
    <w:uiPriority w:val="99"/>
    <w:locked/>
    <w:rsid w:val="008061A7"/>
    <w:rPr>
      <w:rFonts w:ascii="Arial" w:hAnsi="Arial" w:cs="Times New Roman"/>
      <w:b/>
      <w:bCs/>
    </w:rPr>
  </w:style>
  <w:style w:type="paragraph" w:styleId="ListParagraph">
    <w:name w:val="List Paragraph"/>
    <w:basedOn w:val="Normal"/>
    <w:qFormat/>
    <w:rsid w:val="002B5B60"/>
    <w:pPr>
      <w:ind w:left="720"/>
      <w:contextualSpacing/>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2651">
      <w:marLeft w:val="0"/>
      <w:marRight w:val="0"/>
      <w:marTop w:val="0"/>
      <w:marBottom w:val="0"/>
      <w:divBdr>
        <w:top w:val="none" w:sz="0" w:space="0" w:color="auto"/>
        <w:left w:val="none" w:sz="0" w:space="0" w:color="auto"/>
        <w:bottom w:val="none" w:sz="0" w:space="0" w:color="auto"/>
        <w:right w:val="none" w:sz="0" w:space="0" w:color="auto"/>
      </w:divBdr>
      <w:divsChild>
        <w:div w:id="485322663">
          <w:marLeft w:val="0"/>
          <w:marRight w:val="0"/>
          <w:marTop w:val="0"/>
          <w:marBottom w:val="0"/>
          <w:divBdr>
            <w:top w:val="none" w:sz="0" w:space="0" w:color="auto"/>
            <w:left w:val="none" w:sz="0" w:space="0" w:color="auto"/>
            <w:bottom w:val="none" w:sz="0" w:space="0" w:color="auto"/>
            <w:right w:val="none" w:sz="0" w:space="0" w:color="auto"/>
          </w:divBdr>
          <w:divsChild>
            <w:div w:id="485322656">
              <w:marLeft w:val="0"/>
              <w:marRight w:val="0"/>
              <w:marTop w:val="0"/>
              <w:marBottom w:val="0"/>
              <w:divBdr>
                <w:top w:val="none" w:sz="0" w:space="0" w:color="auto"/>
                <w:left w:val="none" w:sz="0" w:space="0" w:color="auto"/>
                <w:bottom w:val="none" w:sz="0" w:space="0" w:color="auto"/>
                <w:right w:val="none" w:sz="0" w:space="0" w:color="auto"/>
              </w:divBdr>
              <w:divsChild>
                <w:div w:id="485322673">
                  <w:marLeft w:val="0"/>
                  <w:marRight w:val="0"/>
                  <w:marTop w:val="0"/>
                  <w:marBottom w:val="0"/>
                  <w:divBdr>
                    <w:top w:val="none" w:sz="0" w:space="0" w:color="auto"/>
                    <w:left w:val="none" w:sz="0" w:space="0" w:color="auto"/>
                    <w:bottom w:val="none" w:sz="0" w:space="0" w:color="auto"/>
                    <w:right w:val="none" w:sz="0" w:space="0" w:color="auto"/>
                  </w:divBdr>
                  <w:divsChild>
                    <w:div w:id="485322658">
                      <w:marLeft w:val="0"/>
                      <w:marRight w:val="0"/>
                      <w:marTop w:val="0"/>
                      <w:marBottom w:val="0"/>
                      <w:divBdr>
                        <w:top w:val="none" w:sz="0" w:space="0" w:color="auto"/>
                        <w:left w:val="none" w:sz="0" w:space="0" w:color="auto"/>
                        <w:bottom w:val="none" w:sz="0" w:space="0" w:color="auto"/>
                        <w:right w:val="none" w:sz="0" w:space="0" w:color="auto"/>
                      </w:divBdr>
                      <w:divsChild>
                        <w:div w:id="485322660">
                          <w:marLeft w:val="0"/>
                          <w:marRight w:val="0"/>
                          <w:marTop w:val="0"/>
                          <w:marBottom w:val="0"/>
                          <w:divBdr>
                            <w:top w:val="none" w:sz="0" w:space="0" w:color="auto"/>
                            <w:left w:val="none" w:sz="0" w:space="0" w:color="auto"/>
                            <w:bottom w:val="none" w:sz="0" w:space="0" w:color="auto"/>
                            <w:right w:val="none" w:sz="0" w:space="0" w:color="auto"/>
                          </w:divBdr>
                          <w:divsChild>
                            <w:div w:id="4853226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322652">
      <w:marLeft w:val="0"/>
      <w:marRight w:val="0"/>
      <w:marTop w:val="0"/>
      <w:marBottom w:val="0"/>
      <w:divBdr>
        <w:top w:val="none" w:sz="0" w:space="0" w:color="auto"/>
        <w:left w:val="none" w:sz="0" w:space="0" w:color="auto"/>
        <w:bottom w:val="none" w:sz="0" w:space="0" w:color="auto"/>
        <w:right w:val="none" w:sz="0" w:space="0" w:color="auto"/>
      </w:divBdr>
    </w:div>
    <w:div w:id="485322653">
      <w:marLeft w:val="0"/>
      <w:marRight w:val="0"/>
      <w:marTop w:val="0"/>
      <w:marBottom w:val="0"/>
      <w:divBdr>
        <w:top w:val="none" w:sz="0" w:space="0" w:color="auto"/>
        <w:left w:val="none" w:sz="0" w:space="0" w:color="auto"/>
        <w:bottom w:val="none" w:sz="0" w:space="0" w:color="auto"/>
        <w:right w:val="none" w:sz="0" w:space="0" w:color="auto"/>
      </w:divBdr>
    </w:div>
    <w:div w:id="485322655">
      <w:marLeft w:val="0"/>
      <w:marRight w:val="0"/>
      <w:marTop w:val="0"/>
      <w:marBottom w:val="0"/>
      <w:divBdr>
        <w:top w:val="none" w:sz="0" w:space="0" w:color="auto"/>
        <w:left w:val="none" w:sz="0" w:space="0" w:color="auto"/>
        <w:bottom w:val="none" w:sz="0" w:space="0" w:color="auto"/>
        <w:right w:val="none" w:sz="0" w:space="0" w:color="auto"/>
      </w:divBdr>
      <w:divsChild>
        <w:div w:id="485322659">
          <w:marLeft w:val="0"/>
          <w:marRight w:val="0"/>
          <w:marTop w:val="0"/>
          <w:marBottom w:val="0"/>
          <w:divBdr>
            <w:top w:val="none" w:sz="0" w:space="0" w:color="auto"/>
            <w:left w:val="none" w:sz="0" w:space="0" w:color="auto"/>
            <w:bottom w:val="none" w:sz="0" w:space="0" w:color="auto"/>
            <w:right w:val="none" w:sz="0" w:space="0" w:color="auto"/>
          </w:divBdr>
          <w:divsChild>
            <w:div w:id="485322677">
              <w:marLeft w:val="0"/>
              <w:marRight w:val="0"/>
              <w:marTop w:val="0"/>
              <w:marBottom w:val="0"/>
              <w:divBdr>
                <w:top w:val="none" w:sz="0" w:space="0" w:color="auto"/>
                <w:left w:val="none" w:sz="0" w:space="0" w:color="auto"/>
                <w:bottom w:val="none" w:sz="0" w:space="0" w:color="auto"/>
                <w:right w:val="none" w:sz="0" w:space="0" w:color="auto"/>
              </w:divBdr>
              <w:divsChild>
                <w:div w:id="485322661">
                  <w:marLeft w:val="0"/>
                  <w:marRight w:val="0"/>
                  <w:marTop w:val="0"/>
                  <w:marBottom w:val="0"/>
                  <w:divBdr>
                    <w:top w:val="none" w:sz="0" w:space="0" w:color="auto"/>
                    <w:left w:val="none" w:sz="0" w:space="0" w:color="auto"/>
                    <w:bottom w:val="none" w:sz="0" w:space="0" w:color="auto"/>
                    <w:right w:val="none" w:sz="0" w:space="0" w:color="auto"/>
                  </w:divBdr>
                  <w:divsChild>
                    <w:div w:id="485322650">
                      <w:marLeft w:val="0"/>
                      <w:marRight w:val="0"/>
                      <w:marTop w:val="0"/>
                      <w:marBottom w:val="0"/>
                      <w:divBdr>
                        <w:top w:val="none" w:sz="0" w:space="0" w:color="auto"/>
                        <w:left w:val="none" w:sz="0" w:space="0" w:color="auto"/>
                        <w:bottom w:val="none" w:sz="0" w:space="0" w:color="auto"/>
                        <w:right w:val="none" w:sz="0" w:space="0" w:color="auto"/>
                      </w:divBdr>
                      <w:divsChild>
                        <w:div w:id="485322675">
                          <w:marLeft w:val="0"/>
                          <w:marRight w:val="0"/>
                          <w:marTop w:val="0"/>
                          <w:marBottom w:val="0"/>
                          <w:divBdr>
                            <w:top w:val="none" w:sz="0" w:space="0" w:color="auto"/>
                            <w:left w:val="none" w:sz="0" w:space="0" w:color="auto"/>
                            <w:bottom w:val="none" w:sz="0" w:space="0" w:color="auto"/>
                            <w:right w:val="none" w:sz="0" w:space="0" w:color="auto"/>
                          </w:divBdr>
                          <w:divsChild>
                            <w:div w:id="4853226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322657">
      <w:marLeft w:val="0"/>
      <w:marRight w:val="0"/>
      <w:marTop w:val="0"/>
      <w:marBottom w:val="0"/>
      <w:divBdr>
        <w:top w:val="none" w:sz="0" w:space="0" w:color="auto"/>
        <w:left w:val="none" w:sz="0" w:space="0" w:color="auto"/>
        <w:bottom w:val="none" w:sz="0" w:space="0" w:color="auto"/>
        <w:right w:val="none" w:sz="0" w:space="0" w:color="auto"/>
      </w:divBdr>
    </w:div>
    <w:div w:id="485322665">
      <w:marLeft w:val="0"/>
      <w:marRight w:val="0"/>
      <w:marTop w:val="0"/>
      <w:marBottom w:val="0"/>
      <w:divBdr>
        <w:top w:val="none" w:sz="0" w:space="0" w:color="auto"/>
        <w:left w:val="none" w:sz="0" w:space="0" w:color="auto"/>
        <w:bottom w:val="none" w:sz="0" w:space="0" w:color="auto"/>
        <w:right w:val="none" w:sz="0" w:space="0" w:color="auto"/>
      </w:divBdr>
      <w:divsChild>
        <w:div w:id="485322679">
          <w:marLeft w:val="0"/>
          <w:marRight w:val="0"/>
          <w:marTop w:val="0"/>
          <w:marBottom w:val="0"/>
          <w:divBdr>
            <w:top w:val="none" w:sz="0" w:space="0" w:color="auto"/>
            <w:left w:val="none" w:sz="0" w:space="0" w:color="auto"/>
            <w:bottom w:val="none" w:sz="0" w:space="0" w:color="auto"/>
            <w:right w:val="none" w:sz="0" w:space="0" w:color="auto"/>
          </w:divBdr>
        </w:div>
      </w:divsChild>
    </w:div>
    <w:div w:id="485322667">
      <w:marLeft w:val="0"/>
      <w:marRight w:val="0"/>
      <w:marTop w:val="0"/>
      <w:marBottom w:val="0"/>
      <w:divBdr>
        <w:top w:val="none" w:sz="0" w:space="0" w:color="auto"/>
        <w:left w:val="none" w:sz="0" w:space="0" w:color="auto"/>
        <w:bottom w:val="none" w:sz="0" w:space="0" w:color="auto"/>
        <w:right w:val="none" w:sz="0" w:space="0" w:color="auto"/>
      </w:divBdr>
      <w:divsChild>
        <w:div w:id="485322654">
          <w:marLeft w:val="0"/>
          <w:marRight w:val="0"/>
          <w:marTop w:val="0"/>
          <w:marBottom w:val="0"/>
          <w:divBdr>
            <w:top w:val="none" w:sz="0" w:space="0" w:color="auto"/>
            <w:left w:val="none" w:sz="0" w:space="0" w:color="auto"/>
            <w:bottom w:val="none" w:sz="0" w:space="0" w:color="auto"/>
            <w:right w:val="none" w:sz="0" w:space="0" w:color="auto"/>
          </w:divBdr>
        </w:div>
      </w:divsChild>
    </w:div>
    <w:div w:id="485322668">
      <w:marLeft w:val="0"/>
      <w:marRight w:val="0"/>
      <w:marTop w:val="0"/>
      <w:marBottom w:val="0"/>
      <w:divBdr>
        <w:top w:val="none" w:sz="0" w:space="0" w:color="auto"/>
        <w:left w:val="none" w:sz="0" w:space="0" w:color="auto"/>
        <w:bottom w:val="none" w:sz="0" w:space="0" w:color="auto"/>
        <w:right w:val="none" w:sz="0" w:space="0" w:color="auto"/>
      </w:divBdr>
      <w:divsChild>
        <w:div w:id="485322662">
          <w:marLeft w:val="0"/>
          <w:marRight w:val="0"/>
          <w:marTop w:val="0"/>
          <w:marBottom w:val="0"/>
          <w:divBdr>
            <w:top w:val="none" w:sz="0" w:space="0" w:color="auto"/>
            <w:left w:val="none" w:sz="0" w:space="0" w:color="auto"/>
            <w:bottom w:val="none" w:sz="0" w:space="0" w:color="auto"/>
            <w:right w:val="none" w:sz="0" w:space="0" w:color="auto"/>
          </w:divBdr>
        </w:div>
      </w:divsChild>
    </w:div>
    <w:div w:id="485322669">
      <w:marLeft w:val="0"/>
      <w:marRight w:val="0"/>
      <w:marTop w:val="0"/>
      <w:marBottom w:val="0"/>
      <w:divBdr>
        <w:top w:val="none" w:sz="0" w:space="0" w:color="auto"/>
        <w:left w:val="none" w:sz="0" w:space="0" w:color="auto"/>
        <w:bottom w:val="none" w:sz="0" w:space="0" w:color="auto"/>
        <w:right w:val="none" w:sz="0" w:space="0" w:color="auto"/>
      </w:divBdr>
    </w:div>
    <w:div w:id="485322670">
      <w:marLeft w:val="0"/>
      <w:marRight w:val="0"/>
      <w:marTop w:val="0"/>
      <w:marBottom w:val="0"/>
      <w:divBdr>
        <w:top w:val="none" w:sz="0" w:space="0" w:color="auto"/>
        <w:left w:val="none" w:sz="0" w:space="0" w:color="auto"/>
        <w:bottom w:val="none" w:sz="0" w:space="0" w:color="auto"/>
        <w:right w:val="none" w:sz="0" w:space="0" w:color="auto"/>
      </w:divBdr>
      <w:divsChild>
        <w:div w:id="485322666">
          <w:marLeft w:val="0"/>
          <w:marRight w:val="0"/>
          <w:marTop w:val="0"/>
          <w:marBottom w:val="0"/>
          <w:divBdr>
            <w:top w:val="none" w:sz="0" w:space="0" w:color="auto"/>
            <w:left w:val="none" w:sz="0" w:space="0" w:color="auto"/>
            <w:bottom w:val="none" w:sz="0" w:space="0" w:color="auto"/>
            <w:right w:val="none" w:sz="0" w:space="0" w:color="auto"/>
          </w:divBdr>
        </w:div>
      </w:divsChild>
    </w:div>
    <w:div w:id="485322671">
      <w:marLeft w:val="0"/>
      <w:marRight w:val="0"/>
      <w:marTop w:val="0"/>
      <w:marBottom w:val="0"/>
      <w:divBdr>
        <w:top w:val="none" w:sz="0" w:space="0" w:color="auto"/>
        <w:left w:val="none" w:sz="0" w:space="0" w:color="auto"/>
        <w:bottom w:val="none" w:sz="0" w:space="0" w:color="auto"/>
        <w:right w:val="none" w:sz="0" w:space="0" w:color="auto"/>
      </w:divBdr>
      <w:divsChild>
        <w:div w:id="485322664">
          <w:marLeft w:val="0"/>
          <w:marRight w:val="0"/>
          <w:marTop w:val="0"/>
          <w:marBottom w:val="0"/>
          <w:divBdr>
            <w:top w:val="none" w:sz="0" w:space="0" w:color="auto"/>
            <w:left w:val="none" w:sz="0" w:space="0" w:color="auto"/>
            <w:bottom w:val="none" w:sz="0" w:space="0" w:color="auto"/>
            <w:right w:val="none" w:sz="0" w:space="0" w:color="auto"/>
          </w:divBdr>
        </w:div>
      </w:divsChild>
    </w:div>
    <w:div w:id="485322672">
      <w:marLeft w:val="0"/>
      <w:marRight w:val="0"/>
      <w:marTop w:val="0"/>
      <w:marBottom w:val="0"/>
      <w:divBdr>
        <w:top w:val="none" w:sz="0" w:space="0" w:color="auto"/>
        <w:left w:val="none" w:sz="0" w:space="0" w:color="auto"/>
        <w:bottom w:val="none" w:sz="0" w:space="0" w:color="auto"/>
        <w:right w:val="none" w:sz="0" w:space="0" w:color="auto"/>
      </w:divBdr>
    </w:div>
    <w:div w:id="485322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HIRA~1.TAY\AppData\Local\Temp\notesFFF692\EY_A4_eNews_1_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EY_A4_eNews_1_Address.dotx</Template>
  <TotalTime>1</TotalTime>
  <Pages>6</Pages>
  <Words>1674</Words>
  <Characters>9879</Characters>
  <Application>Microsoft Office Word</Application>
  <DocSecurity>0</DocSecurity>
  <Lines>82</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News Release</vt:lpstr>
      <vt:lpstr>News Release</vt:lpstr>
    </vt:vector>
  </TitlesOfParts>
  <Company>Ernst &amp; Young</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Tehira Taylor</dc:creator>
  <cp:lastModifiedBy>Lenka Cermakova</cp:lastModifiedBy>
  <cp:revision>2</cp:revision>
  <cp:lastPrinted>2013-10-25T14:26:00Z</cp:lastPrinted>
  <dcterms:created xsi:type="dcterms:W3CDTF">2013-10-25T16:57:00Z</dcterms:created>
  <dcterms:modified xsi:type="dcterms:W3CDTF">2013-10-25T16:57:00Z</dcterms:modified>
</cp:coreProperties>
</file>