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60" w:rsidRPr="002B5B60" w:rsidRDefault="002B5B60" w:rsidP="002B5B60">
      <w:pPr>
        <w:pStyle w:val="EYBodytextsubhead1"/>
        <w:tabs>
          <w:tab w:val="left" w:pos="4395"/>
        </w:tabs>
        <w:ind w:right="-85"/>
        <w:rPr>
          <w:rFonts w:ascii="Arial" w:hAnsi="Arial" w:cs="Arial"/>
          <w:b w:val="0"/>
          <w:sz w:val="36"/>
          <w:szCs w:val="36"/>
          <w:lang w:val="cs-CZ"/>
        </w:rPr>
      </w:pPr>
      <w:bookmarkStart w:id="0" w:name="_GoBack"/>
      <w:bookmarkEnd w:id="0"/>
      <w:r w:rsidRPr="002B5B60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2B5B60" w:rsidRPr="002B5B60" w:rsidRDefault="002B5B60" w:rsidP="002B5B60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B5B60">
        <w:rPr>
          <w:rFonts w:ascii="Arial" w:hAnsi="Arial" w:cs="Arial"/>
          <w:b w:val="0"/>
          <w:szCs w:val="20"/>
          <w:lang w:val="cs-CZ"/>
        </w:rPr>
        <w:tab/>
      </w:r>
      <w:r w:rsidRPr="002B5B60">
        <w:rPr>
          <w:rFonts w:ascii="Arial" w:hAnsi="Arial" w:cs="Arial"/>
          <w:b w:val="0"/>
          <w:sz w:val="16"/>
          <w:szCs w:val="16"/>
          <w:lang w:val="cs-CZ"/>
        </w:rPr>
        <w:t>Lenka Čermáková</w:t>
      </w: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Roman Pavlík</w:t>
      </w:r>
    </w:p>
    <w:p w:rsidR="002B5B60" w:rsidRPr="002B5B60" w:rsidRDefault="002B5B60" w:rsidP="002B5B60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EY</w:t>
      </w: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</w:r>
      <w:proofErr w:type="spellStart"/>
      <w:r w:rsidRPr="002B5B60">
        <w:rPr>
          <w:rFonts w:ascii="Arial" w:hAnsi="Arial" w:cs="Arial"/>
          <w:b w:val="0"/>
          <w:sz w:val="16"/>
          <w:szCs w:val="16"/>
          <w:lang w:val="cs-CZ"/>
        </w:rPr>
        <w:t>Fleishman</w:t>
      </w:r>
      <w:proofErr w:type="spellEnd"/>
      <w:r w:rsidRPr="002B5B60">
        <w:rPr>
          <w:rFonts w:ascii="Arial" w:hAnsi="Arial" w:cs="Arial"/>
          <w:b w:val="0"/>
          <w:sz w:val="16"/>
          <w:szCs w:val="16"/>
          <w:lang w:val="cs-CZ"/>
        </w:rPr>
        <w:t xml:space="preserve"> </w:t>
      </w:r>
      <w:proofErr w:type="spellStart"/>
      <w:r w:rsidRPr="002B5B60">
        <w:rPr>
          <w:rFonts w:ascii="Arial" w:hAnsi="Arial" w:cs="Arial"/>
          <w:b w:val="0"/>
          <w:sz w:val="16"/>
          <w:szCs w:val="16"/>
          <w:lang w:val="cs-CZ"/>
        </w:rPr>
        <w:t>Hillard</w:t>
      </w:r>
      <w:proofErr w:type="spellEnd"/>
    </w:p>
    <w:p w:rsidR="002B5B60" w:rsidRPr="002B5B60" w:rsidRDefault="002B5B60" w:rsidP="002B5B60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Tel.: +420 225 335 967</w:t>
      </w: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Tel.: +420 224 232 650</w:t>
      </w:r>
    </w:p>
    <w:p w:rsidR="002B5B60" w:rsidRPr="002B5B60" w:rsidRDefault="002B5B60" w:rsidP="002B5B60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Mobil: +420 731 627 166</w:t>
      </w: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Mobil: +420 777 791 878</w:t>
      </w:r>
    </w:p>
    <w:p w:rsidR="002B5B60" w:rsidRPr="002B5B60" w:rsidRDefault="002B5B60" w:rsidP="002B5B60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E-mail: lenka.cermakova@cz.ey.com</w:t>
      </w:r>
      <w:r w:rsidRPr="002B5B60">
        <w:rPr>
          <w:rFonts w:ascii="Arial" w:hAnsi="Arial" w:cs="Arial"/>
          <w:b w:val="0"/>
          <w:sz w:val="16"/>
          <w:szCs w:val="16"/>
          <w:lang w:val="cs-CZ"/>
        </w:rPr>
        <w:tab/>
        <w:t>E-mail: pavlik@fleishman.com</w:t>
      </w:r>
    </w:p>
    <w:p w:rsidR="002B5B60" w:rsidRPr="002B5B60" w:rsidRDefault="002B5B60" w:rsidP="002B5B60">
      <w:pPr>
        <w:pStyle w:val="EYBodytextwithparaspace"/>
        <w:tabs>
          <w:tab w:val="clear" w:pos="907"/>
        </w:tabs>
        <w:spacing w:after="0"/>
        <w:rPr>
          <w:rFonts w:cs="Arial"/>
          <w:b/>
          <w:sz w:val="26"/>
          <w:szCs w:val="26"/>
          <w:lang w:val="cs-CZ"/>
        </w:rPr>
      </w:pPr>
      <w:r w:rsidRPr="002B5B60">
        <w:rPr>
          <w:rFonts w:cs="Arial"/>
          <w:b/>
          <w:sz w:val="26"/>
          <w:szCs w:val="26"/>
          <w:lang w:val="cs-CZ"/>
        </w:rPr>
        <w:br/>
        <w:t>V České republice vzrostl v první polovině roku počet nákupů a prodejů firem o 43 %</w:t>
      </w:r>
    </w:p>
    <w:p w:rsidR="002B5B60" w:rsidRPr="002B5B60" w:rsidRDefault="002B5B60" w:rsidP="002B5B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2B5B60">
        <w:rPr>
          <w:rFonts w:ascii="Arial" w:hAnsi="Arial" w:cs="Arial"/>
          <w:b/>
          <w:i/>
          <w:color w:val="000000"/>
          <w:sz w:val="22"/>
          <w:szCs w:val="22"/>
        </w:rPr>
        <w:t>V regionu střední a jihovýchodní Evropy počet transakcí rostl o 20,7 %</w:t>
      </w:r>
    </w:p>
    <w:p w:rsidR="002B5B60" w:rsidRPr="002B5B60" w:rsidRDefault="002B5B60" w:rsidP="002B5B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2B5B60">
        <w:rPr>
          <w:rFonts w:ascii="Arial" w:hAnsi="Arial" w:cs="Arial"/>
          <w:b/>
          <w:i/>
          <w:color w:val="000000"/>
          <w:sz w:val="22"/>
          <w:szCs w:val="22"/>
        </w:rPr>
        <w:t xml:space="preserve">Z </w:t>
      </w:r>
      <w:r w:rsidRPr="002B5B60">
        <w:rPr>
          <w:rFonts w:ascii="Arial" w:hAnsi="Arial"/>
          <w:b/>
          <w:i/>
          <w:kern w:val="12"/>
          <w:sz w:val="22"/>
          <w:lang w:eastAsia="en-US"/>
        </w:rPr>
        <w:t xml:space="preserve">mezinárodního srovnání vychází ČR jako silný regionální investor – ze zemí střední a jihovýchodní Evropy se může pochlubit největším počtem nákupů v </w:t>
      </w:r>
      <w:r w:rsidRPr="002B5B60">
        <w:rPr>
          <w:rFonts w:ascii="Arial" w:hAnsi="Arial" w:cs="Arial"/>
          <w:b/>
          <w:i/>
          <w:color w:val="000000"/>
          <w:sz w:val="22"/>
          <w:szCs w:val="22"/>
        </w:rPr>
        <w:t>zahraničí</w:t>
      </w:r>
    </w:p>
    <w:p w:rsidR="002B5B60" w:rsidRPr="002B5B60" w:rsidRDefault="002B5B60" w:rsidP="002B5B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b/>
          <w:i/>
        </w:rPr>
      </w:pPr>
      <w:r w:rsidRPr="002B5B60">
        <w:rPr>
          <w:rFonts w:ascii="Arial" w:hAnsi="Arial" w:cs="Arial"/>
          <w:b/>
          <w:i/>
          <w:color w:val="000000"/>
          <w:sz w:val="22"/>
          <w:szCs w:val="22"/>
        </w:rPr>
        <w:t>V ČR se zvýšila hodnota zveřejněných transakcí, nejvíce se investovalo do výroby, služeb a nemovitostí</w:t>
      </w:r>
      <w:r w:rsidRPr="002B5B60">
        <w:rPr>
          <w:b/>
          <w:i/>
        </w:rPr>
        <w:br/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i/>
          <w:sz w:val="22"/>
          <w:lang w:val="cs-CZ"/>
        </w:rPr>
        <w:t>Praha, 24. října 2013 –</w:t>
      </w:r>
      <w:r w:rsidRPr="002B5B60">
        <w:rPr>
          <w:b/>
          <w:i/>
          <w:sz w:val="22"/>
          <w:lang w:val="cs-CZ"/>
        </w:rPr>
        <w:t xml:space="preserve"> </w:t>
      </w:r>
      <w:r w:rsidRPr="002B5B60">
        <w:rPr>
          <w:rFonts w:cs="Arial"/>
          <w:b/>
          <w:color w:val="000000"/>
          <w:sz w:val="22"/>
          <w:szCs w:val="22"/>
          <w:lang w:val="cs-CZ"/>
        </w:rPr>
        <w:t xml:space="preserve">Český trh fúzí a akvizic rostl v první polovině roku 2013 </w:t>
      </w:r>
      <w:r w:rsidR="00641390">
        <w:rPr>
          <w:rFonts w:cs="Arial"/>
          <w:b/>
          <w:color w:val="000000"/>
          <w:sz w:val="22"/>
          <w:szCs w:val="22"/>
          <w:lang w:val="cs-CZ"/>
        </w:rPr>
        <w:t>oproti stejnému období roku 2012 více</w:t>
      </w:r>
      <w:r w:rsidRPr="002B5B60">
        <w:rPr>
          <w:rFonts w:cs="Arial"/>
          <w:b/>
          <w:color w:val="000000"/>
          <w:sz w:val="22"/>
          <w:szCs w:val="22"/>
          <w:lang w:val="cs-CZ"/>
        </w:rPr>
        <w:t xml:space="preserve"> než trh v celém regionu střední a jihovýchodní Evropy a měl, co do počtu realizovaných transakcí, našlápnuto k nejlepšímu výsledku od recese v roce 2009. Za významným nárůstem transakční aktivity v Česku stojí vedle cel</w:t>
      </w:r>
      <w:r w:rsidR="00641390">
        <w:rPr>
          <w:rFonts w:cs="Arial"/>
          <w:b/>
          <w:color w:val="000000"/>
          <w:sz w:val="22"/>
          <w:szCs w:val="22"/>
          <w:lang w:val="cs-CZ"/>
        </w:rPr>
        <w:t xml:space="preserve">kového trendu v </w:t>
      </w:r>
      <w:r w:rsidRPr="002B5B60">
        <w:rPr>
          <w:rFonts w:cs="Arial"/>
          <w:b/>
          <w:color w:val="000000"/>
          <w:sz w:val="22"/>
          <w:szCs w:val="22"/>
          <w:lang w:val="cs-CZ"/>
        </w:rPr>
        <w:t>středoevropské</w:t>
      </w:r>
      <w:r w:rsidR="00641390">
        <w:rPr>
          <w:rFonts w:cs="Arial"/>
          <w:b/>
          <w:color w:val="000000"/>
          <w:sz w:val="22"/>
          <w:szCs w:val="22"/>
          <w:lang w:val="cs-CZ"/>
        </w:rPr>
        <w:t>m</w:t>
      </w:r>
      <w:r w:rsidRPr="002B5B60">
        <w:rPr>
          <w:rFonts w:cs="Arial"/>
          <w:b/>
          <w:color w:val="000000"/>
          <w:sz w:val="22"/>
          <w:szCs w:val="22"/>
          <w:lang w:val="cs-CZ"/>
        </w:rPr>
        <w:t xml:space="preserve"> regionu také </w:t>
      </w:r>
      <w:r w:rsidR="00B84DDF" w:rsidRPr="002B5B60">
        <w:rPr>
          <w:rFonts w:cs="Arial"/>
          <w:b/>
          <w:color w:val="000000"/>
          <w:sz w:val="22"/>
          <w:szCs w:val="22"/>
          <w:lang w:val="cs-CZ"/>
        </w:rPr>
        <w:t>významn</w:t>
      </w:r>
      <w:r w:rsidR="00B84DDF">
        <w:rPr>
          <w:rFonts w:cs="Arial"/>
          <w:b/>
          <w:color w:val="000000"/>
          <w:sz w:val="22"/>
          <w:szCs w:val="22"/>
          <w:lang w:val="cs-CZ"/>
        </w:rPr>
        <w:t>é</w:t>
      </w:r>
      <w:r w:rsidR="00B84DDF" w:rsidRPr="002B5B60">
        <w:rPr>
          <w:rFonts w:cs="Arial"/>
          <w:b/>
          <w:color w:val="000000"/>
          <w:sz w:val="22"/>
          <w:szCs w:val="22"/>
          <w:lang w:val="cs-CZ"/>
        </w:rPr>
        <w:t xml:space="preserve"> </w:t>
      </w:r>
      <w:r w:rsidR="00641390">
        <w:rPr>
          <w:rFonts w:cs="Arial"/>
          <w:b/>
          <w:color w:val="000000"/>
          <w:sz w:val="22"/>
          <w:szCs w:val="22"/>
          <w:lang w:val="cs-CZ"/>
        </w:rPr>
        <w:t>zvýšení úspěšnosti</w:t>
      </w:r>
      <w:r w:rsidRPr="002B5B60">
        <w:rPr>
          <w:rFonts w:cs="Arial"/>
          <w:b/>
          <w:color w:val="000000"/>
          <w:sz w:val="22"/>
          <w:szCs w:val="22"/>
          <w:lang w:val="cs-CZ"/>
        </w:rPr>
        <w:t xml:space="preserve"> </w:t>
      </w:r>
      <w:r w:rsidR="00641390">
        <w:rPr>
          <w:rFonts w:cs="Arial"/>
          <w:b/>
          <w:color w:val="000000"/>
          <w:sz w:val="22"/>
          <w:szCs w:val="22"/>
          <w:lang w:val="cs-CZ"/>
        </w:rPr>
        <w:t xml:space="preserve">transakcí </w:t>
      </w:r>
      <w:r w:rsidR="00486635">
        <w:rPr>
          <w:rFonts w:cs="Arial"/>
          <w:b/>
          <w:color w:val="000000"/>
          <w:sz w:val="22"/>
          <w:szCs w:val="22"/>
          <w:lang w:val="cs-CZ"/>
        </w:rPr>
        <w:br/>
      </w:r>
      <w:r w:rsidR="00641390">
        <w:rPr>
          <w:rFonts w:cs="Arial"/>
          <w:b/>
          <w:color w:val="000000"/>
          <w:sz w:val="22"/>
          <w:szCs w:val="22"/>
          <w:lang w:val="cs-CZ"/>
        </w:rPr>
        <w:t xml:space="preserve">v </w:t>
      </w:r>
      <w:r w:rsidRPr="002B5B60">
        <w:rPr>
          <w:rFonts w:cs="Arial"/>
          <w:b/>
          <w:color w:val="000000"/>
          <w:sz w:val="22"/>
          <w:szCs w:val="22"/>
          <w:lang w:val="cs-CZ"/>
        </w:rPr>
        <w:t>sektor</w:t>
      </w:r>
      <w:r w:rsidR="00641390">
        <w:rPr>
          <w:rFonts w:cs="Arial"/>
          <w:b/>
          <w:color w:val="000000"/>
          <w:sz w:val="22"/>
          <w:szCs w:val="22"/>
          <w:lang w:val="cs-CZ"/>
        </w:rPr>
        <w:t>ech</w:t>
      </w:r>
      <w:r w:rsidRPr="002B5B60">
        <w:rPr>
          <w:rFonts w:cs="Arial"/>
          <w:b/>
          <w:color w:val="000000"/>
          <w:sz w:val="22"/>
          <w:szCs w:val="22"/>
          <w:lang w:val="cs-CZ"/>
        </w:rPr>
        <w:t xml:space="preserve">, které loni nebyly atraktivní – například IT či chemický průmysl. 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 xml:space="preserve">V první polovině roku 2013 tuzemští investoři realizovali 73 transakcí, tedy meziročně o 43 % více, z čehož 17 transakcí představovaly jejich nákupy v zahraničí. Po započtení 26 transakcí realizovaných v Česku zahraničními investory je tak první polovina roku s 99 realizovanými obchody z hlediska transakční aktivity nejsilnější od hospodářského útlumu v roce 2009. 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>Objem obchodů s uveřejněnou hodnotou v první polovině roku dosáhl 1,18 miliardy USD oproti 1,52 miliardy USD v předchozím roce.</w:t>
      </w:r>
    </w:p>
    <w:p w:rsid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D45819">
        <w:rPr>
          <w:rFonts w:cs="Arial"/>
          <w:i/>
          <w:color w:val="000000"/>
          <w:sz w:val="22"/>
          <w:szCs w:val="22"/>
          <w:lang w:val="cs-CZ"/>
        </w:rPr>
        <w:t>„</w:t>
      </w:r>
      <w:r w:rsidR="00621C9D" w:rsidRPr="00D45819">
        <w:rPr>
          <w:rFonts w:cs="Arial"/>
          <w:i/>
          <w:color w:val="000000"/>
          <w:sz w:val="22"/>
          <w:szCs w:val="22"/>
          <w:lang w:val="cs-CZ"/>
        </w:rPr>
        <w:t>J</w:t>
      </w:r>
      <w:r w:rsidR="00621C9D">
        <w:rPr>
          <w:rFonts w:cs="Arial"/>
          <w:i/>
          <w:color w:val="000000"/>
          <w:sz w:val="22"/>
          <w:szCs w:val="22"/>
          <w:lang w:val="cs-CZ"/>
        </w:rPr>
        <w:t>de o j</w:t>
      </w:r>
      <w:r w:rsidR="00621C9D" w:rsidRPr="00D45819">
        <w:rPr>
          <w:rFonts w:cs="Arial"/>
          <w:i/>
          <w:color w:val="000000"/>
          <w:sz w:val="22"/>
          <w:szCs w:val="22"/>
          <w:lang w:val="cs-CZ"/>
        </w:rPr>
        <w:t xml:space="preserve">ednoznačně pozitivní trend, </w:t>
      </w:r>
      <w:r w:rsidR="00621C9D">
        <w:rPr>
          <w:rFonts w:cs="Arial"/>
          <w:i/>
          <w:color w:val="000000"/>
          <w:sz w:val="22"/>
          <w:szCs w:val="22"/>
          <w:lang w:val="cs-CZ"/>
        </w:rPr>
        <w:t xml:space="preserve">který </w:t>
      </w:r>
      <w:r w:rsidR="00621C9D" w:rsidRPr="00D45819">
        <w:rPr>
          <w:rFonts w:cs="Arial"/>
          <w:i/>
          <w:color w:val="000000"/>
          <w:sz w:val="22"/>
          <w:szCs w:val="22"/>
          <w:lang w:val="cs-CZ"/>
        </w:rPr>
        <w:t xml:space="preserve">svědčí o </w:t>
      </w:r>
      <w:r w:rsidR="00641390" w:rsidRPr="00D45819">
        <w:rPr>
          <w:rFonts w:cs="Arial"/>
          <w:i/>
          <w:color w:val="000000"/>
          <w:sz w:val="22"/>
          <w:szCs w:val="22"/>
          <w:lang w:val="cs-CZ"/>
        </w:rPr>
        <w:t xml:space="preserve">třech významných faktorech: roste koupěschopná poptávka po českých firmách, roste počet transakcí, které se podaří úspěšně uzavřít a roste aktivita českých firem v zahraničí. Protože však nedošlo k prodeji žádné velké firmy, oproti loňskému roku, je celková hodnota transakcí nižší. </w:t>
      </w:r>
      <w:r w:rsidR="00641390" w:rsidRPr="00D45819">
        <w:rPr>
          <w:rFonts w:cs="Arial"/>
          <w:i/>
          <w:sz w:val="22"/>
          <w:szCs w:val="22"/>
          <w:lang w:val="cs-CZ"/>
        </w:rPr>
        <w:t xml:space="preserve">Do statistiky totiž není započtena akvizice společnosti Net4G v objemu 2,05 miliardy USD, která do konce pololetí </w:t>
      </w:r>
      <w:r w:rsidR="00641390" w:rsidRPr="00D45819">
        <w:rPr>
          <w:rFonts w:cs="Arial"/>
          <w:i/>
          <w:sz w:val="22"/>
          <w:szCs w:val="22"/>
          <w:lang w:val="cs-CZ"/>
        </w:rPr>
        <w:lastRenderedPageBreak/>
        <w:t>nebyla finálně dokončena</w:t>
      </w:r>
      <w:r w:rsidRPr="00D45819">
        <w:rPr>
          <w:rFonts w:cs="Arial"/>
          <w:color w:val="000000"/>
          <w:sz w:val="22"/>
          <w:szCs w:val="22"/>
          <w:lang w:val="cs-CZ"/>
        </w:rPr>
        <w:t>,“ říká Petra Wendelová, partnerka poradenské společnosti EY pro fúze a akvizice.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>Z mezinárodního srovnání vychází Česko jako silný regionální investor – ze zemí střední a ji</w:t>
      </w:r>
      <w:r w:rsidR="00E92069">
        <w:rPr>
          <w:rFonts w:cs="Arial"/>
          <w:color w:val="000000"/>
          <w:sz w:val="22"/>
          <w:szCs w:val="22"/>
          <w:lang w:val="cs-CZ"/>
        </w:rPr>
        <w:t xml:space="preserve">hovýchodní </w:t>
      </w:r>
      <w:r w:rsidRPr="002B5B60">
        <w:rPr>
          <w:rFonts w:cs="Arial"/>
          <w:color w:val="000000"/>
          <w:sz w:val="22"/>
          <w:szCs w:val="22"/>
          <w:lang w:val="cs-CZ"/>
        </w:rPr>
        <w:t>Evropy se může pochlubit největším počtem nákupů v zahraničí.</w:t>
      </w:r>
      <w:r w:rsidRPr="002B5B60">
        <w:rPr>
          <w:rFonts w:cs="Arial"/>
          <w:i/>
          <w:color w:val="000000"/>
          <w:sz w:val="22"/>
          <w:szCs w:val="22"/>
          <w:lang w:val="cs-CZ"/>
        </w:rPr>
        <w:t xml:space="preserve"> „Zájem českých firem o investice v zahraničí vytrvale roste již několik posledních let. </w:t>
      </w:r>
      <w:r w:rsidR="00641390">
        <w:rPr>
          <w:rFonts w:cs="Arial"/>
          <w:i/>
          <w:color w:val="000000"/>
          <w:sz w:val="22"/>
          <w:szCs w:val="22"/>
          <w:lang w:val="cs-CZ"/>
        </w:rPr>
        <w:t xml:space="preserve">Např. </w:t>
      </w:r>
      <w:r w:rsidR="00486635">
        <w:rPr>
          <w:rFonts w:cs="Arial"/>
          <w:i/>
          <w:color w:val="000000"/>
          <w:sz w:val="22"/>
          <w:szCs w:val="22"/>
          <w:lang w:val="cs-CZ"/>
        </w:rPr>
        <w:t xml:space="preserve">v </w:t>
      </w:r>
      <w:r w:rsidRPr="002B5B60">
        <w:rPr>
          <w:rFonts w:cs="Arial"/>
          <w:i/>
          <w:color w:val="000000"/>
          <w:sz w:val="22"/>
          <w:szCs w:val="22"/>
          <w:lang w:val="cs-CZ"/>
        </w:rPr>
        <w:t xml:space="preserve">Maďarsku je Česká republika aktuálně druhým nejvýznamnějším investorem. České </w:t>
      </w:r>
      <w:r w:rsidR="00641390">
        <w:rPr>
          <w:rFonts w:cs="Arial"/>
          <w:i/>
          <w:color w:val="000000"/>
          <w:sz w:val="22"/>
          <w:szCs w:val="22"/>
          <w:lang w:val="cs-CZ"/>
        </w:rPr>
        <w:t>(</w:t>
      </w:r>
      <w:r w:rsidRPr="002B5B60">
        <w:rPr>
          <w:rFonts w:cs="Arial"/>
          <w:i/>
          <w:color w:val="000000"/>
          <w:sz w:val="22"/>
          <w:szCs w:val="22"/>
          <w:lang w:val="cs-CZ"/>
        </w:rPr>
        <w:t>a polské</w:t>
      </w:r>
      <w:r w:rsidR="00641390">
        <w:rPr>
          <w:rFonts w:cs="Arial"/>
          <w:i/>
          <w:color w:val="000000"/>
          <w:sz w:val="22"/>
          <w:szCs w:val="22"/>
          <w:lang w:val="cs-CZ"/>
        </w:rPr>
        <w:t>)</w:t>
      </w:r>
      <w:r w:rsidRPr="002B5B60">
        <w:rPr>
          <w:rFonts w:cs="Arial"/>
          <w:i/>
          <w:color w:val="000000"/>
          <w:sz w:val="22"/>
          <w:szCs w:val="22"/>
          <w:lang w:val="cs-CZ"/>
        </w:rPr>
        <w:t xml:space="preserve"> firmy mají také tradičně dobrou pověst na Balkáně, kde jsou v poslední době velmi aktivní. Český investor je v tomto regionu vnímán jako nositel inovace, kapitálu a západních technologií. Existují však i technologické štiky jako třeba brněnský </w:t>
      </w:r>
      <w:proofErr w:type="spellStart"/>
      <w:r w:rsidRPr="002B5B60">
        <w:rPr>
          <w:rFonts w:cs="Arial"/>
          <w:i/>
          <w:color w:val="000000"/>
          <w:sz w:val="22"/>
          <w:szCs w:val="22"/>
          <w:lang w:val="cs-CZ"/>
        </w:rPr>
        <w:t>Tescan</w:t>
      </w:r>
      <w:proofErr w:type="spellEnd"/>
      <w:r w:rsidRPr="002B5B60">
        <w:rPr>
          <w:rFonts w:cs="Arial"/>
          <w:i/>
          <w:color w:val="000000"/>
          <w:sz w:val="22"/>
          <w:szCs w:val="22"/>
          <w:lang w:val="cs-CZ"/>
        </w:rPr>
        <w:t>, který aktivně vyhledává akviziční cíle skutečně po celém světě,“</w:t>
      </w:r>
      <w:r w:rsidRPr="002B5B60">
        <w:rPr>
          <w:rFonts w:cs="Arial"/>
          <w:color w:val="000000"/>
          <w:sz w:val="22"/>
          <w:szCs w:val="22"/>
          <w:lang w:val="cs-CZ"/>
        </w:rPr>
        <w:t xml:space="preserve"> říká Petr Kříž, výkonný ředitel oddělení transakčního poradenství EY v České republice.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rFonts w:cs="Arial"/>
          <w:b/>
          <w:color w:val="000000"/>
          <w:sz w:val="22"/>
          <w:szCs w:val="22"/>
          <w:lang w:val="cs-CZ"/>
        </w:rPr>
        <w:t>Odhadovaná velikost M&amp;A trhu v České republice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  <w:r w:rsidRPr="002B5B60">
        <w:rPr>
          <w:rFonts w:cs="Arial"/>
          <w:sz w:val="22"/>
          <w:szCs w:val="22"/>
          <w:lang w:val="cs-CZ"/>
        </w:rPr>
        <w:t xml:space="preserve">Velikost M&amp;A trhu v Česku meziročně poklesla o 14,8 % na 2,34 miliardy USD. Důvodem poklesu je menší počet objemově velkých transakcí. Průměrná velikost transakce, jejíž hodnota byla zveřejněna, klesla o více než polovinu na 47 milionů USD. Hodnota transakce byla v první polovině roku zveřejněna u 25 % obchodů, což znamená meziroční růst o 3 %. 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>Nejvýznamnější transakcí uskutečněnou českými investory v zahraničí byl nákup Středoslovenské energetiky, a.s. (49 %) Energetickým a průmyslovým holdingem a.s. (hodnota transakce 516 mil. USD).</w:t>
      </w:r>
      <w:r w:rsidRPr="002B5B60">
        <w:rPr>
          <w:rFonts w:cs="Arial"/>
          <w:sz w:val="22"/>
          <w:szCs w:val="22"/>
          <w:lang w:val="cs-CZ"/>
        </w:rPr>
        <w:t xml:space="preserve"> </w:t>
      </w:r>
      <w:r w:rsidR="00D45819">
        <w:rPr>
          <w:rFonts w:cs="Arial"/>
          <w:sz w:val="22"/>
          <w:szCs w:val="22"/>
          <w:lang w:val="cs-CZ"/>
        </w:rPr>
        <w:br/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rFonts w:cs="Arial"/>
          <w:b/>
          <w:color w:val="000000"/>
          <w:sz w:val="22"/>
          <w:szCs w:val="22"/>
          <w:lang w:val="cs-CZ"/>
        </w:rPr>
        <w:t>Zastoupení investorů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  <w:r w:rsidRPr="002B5B60">
        <w:rPr>
          <w:rFonts w:cs="Arial"/>
          <w:sz w:val="22"/>
          <w:szCs w:val="22"/>
          <w:lang w:val="cs-CZ"/>
        </w:rPr>
        <w:t>Meziročně aktivnější byli jak strategičtí, tak finanční investoři. Aktivita finančních investorů vzrostla o více než 90 %, čímž jejich podíl na celkovém objemu transakcí vzrostl na 21 % (z 16 % v první polovině loňského roku).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  <w:r w:rsidRPr="002B5B60">
        <w:rPr>
          <w:rFonts w:cs="Arial"/>
          <w:sz w:val="22"/>
          <w:szCs w:val="22"/>
          <w:lang w:val="cs-CZ"/>
        </w:rPr>
        <w:t>Převaha tuzemských transakcí se mírně snížila ve prospěch transakcí směřovaných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do zahraničí, přesto však obchody mezi domácími subjekty stále tvořily nadpoloviční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většinu všech transakcí. Růst investic ze zahraničí přesně kopíroval rostoucí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trajektorii celého trhu.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  <w:r w:rsidRPr="002B5B60">
        <w:rPr>
          <w:rFonts w:cs="Arial"/>
          <w:sz w:val="22"/>
          <w:szCs w:val="22"/>
          <w:lang w:val="cs-CZ"/>
        </w:rPr>
        <w:t>Domácí investoři svými zahraničními investicemi opět cílili především na sousední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země – na Slovensko (5 transakcí), do Rakouska či Německa (po 2 transakcích).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Zájem o společnosti v Česku prokázaly tradičně subjekty z USA (6 transakcí) či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 xml:space="preserve">Německa (5 transakcí). Obvyklou </w:t>
      </w:r>
      <w:r w:rsidRPr="002B5B60">
        <w:rPr>
          <w:rFonts w:cs="Arial"/>
          <w:sz w:val="22"/>
          <w:szCs w:val="22"/>
          <w:lang w:val="cs-CZ"/>
        </w:rPr>
        <w:lastRenderedPageBreak/>
        <w:t>dvojici doplnili investoři ze Švýcarska, kteří také v Česku zrealizovali pět transakcí, především v oblasti výroby.</w:t>
      </w:r>
    </w:p>
    <w:p w:rsidR="002B5B60" w:rsidRDefault="002B5B60" w:rsidP="002B5B60">
      <w:pPr>
        <w:autoSpaceDE w:val="0"/>
        <w:autoSpaceDN w:val="0"/>
        <w:adjustRightInd w:val="0"/>
        <w:spacing w:line="360" w:lineRule="auto"/>
        <w:rPr>
          <w:rFonts w:ascii="EYInterstate-Light" w:hAnsi="EYInterstate-Light" w:cs="EYInterstate-Light"/>
          <w:sz w:val="18"/>
          <w:szCs w:val="18"/>
          <w:lang w:val="cs-CZ" w:eastAsia="cs-CZ"/>
        </w:rPr>
      </w:pP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rFonts w:cs="Arial"/>
          <w:b/>
          <w:color w:val="000000"/>
          <w:sz w:val="22"/>
          <w:szCs w:val="22"/>
          <w:lang w:val="cs-CZ"/>
        </w:rPr>
        <w:t>Zastoupení odvětví ekonomiky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cs-CZ"/>
        </w:rPr>
      </w:pPr>
      <w:r w:rsidRPr="002B5B60">
        <w:rPr>
          <w:rFonts w:cs="Arial"/>
          <w:sz w:val="22"/>
          <w:szCs w:val="22"/>
          <w:lang w:val="cs-CZ"/>
        </w:rPr>
        <w:t>Pozice nejoblíbenějších odvětví tradičně zastaly oblasti výroby (14 transakcí)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a služeb (12 transakcí, ale meziroční pokles o 30 %), mezi něž se s 13 zaznamenanými transakcemi vklínil sektor nemovitostí (připomeňme, že analýza EY zachycuje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pouze nemovitostní transakce realizované nemovitostními fondy, či holdingy).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Významným nárůstem se ve sledovaném období mohl pochlubit sektor obchodu (50%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meziroční růst na 12 transakcí), energetiky (50% růst a 9 transakcí), IT (růst z</w:t>
      </w:r>
      <w:r>
        <w:rPr>
          <w:rFonts w:cs="Arial"/>
          <w:sz w:val="22"/>
          <w:szCs w:val="22"/>
          <w:lang w:val="cs-CZ"/>
        </w:rPr>
        <w:t> </w:t>
      </w:r>
      <w:r w:rsidRPr="002B5B60">
        <w:rPr>
          <w:rFonts w:cs="Arial"/>
          <w:sz w:val="22"/>
          <w:szCs w:val="22"/>
          <w:lang w:val="cs-CZ"/>
        </w:rPr>
        <w:t>jedné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transakce v roce 2012 na sedm v roce 2013) a chemie (opět z jedné transakce</w:t>
      </w:r>
      <w:r>
        <w:rPr>
          <w:rFonts w:cs="Arial"/>
          <w:sz w:val="22"/>
          <w:szCs w:val="22"/>
          <w:lang w:val="cs-CZ"/>
        </w:rPr>
        <w:t xml:space="preserve"> </w:t>
      </w:r>
      <w:r w:rsidRPr="002B5B60">
        <w:rPr>
          <w:rFonts w:cs="Arial"/>
          <w:sz w:val="22"/>
          <w:szCs w:val="22"/>
          <w:lang w:val="cs-CZ"/>
        </w:rPr>
        <w:t>v roce 2012 až na pět v roce 2013).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rFonts w:cs="Arial"/>
          <w:b/>
          <w:color w:val="000000"/>
          <w:sz w:val="22"/>
          <w:szCs w:val="22"/>
          <w:lang w:val="cs-CZ"/>
        </w:rPr>
        <w:t>Top 10 největších zveřejněných transakcí v první polovině roku 2013 (ČR)</w:t>
      </w: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41"/>
        <w:gridCol w:w="600"/>
        <w:gridCol w:w="1417"/>
        <w:gridCol w:w="1985"/>
        <w:gridCol w:w="1131"/>
        <w:gridCol w:w="145"/>
        <w:gridCol w:w="1126"/>
        <w:gridCol w:w="291"/>
      </w:tblGrid>
      <w:tr w:rsidR="002B5B60" w:rsidRPr="002B5B60" w:rsidTr="00693FF3">
        <w:trPr>
          <w:gridAfter w:val="1"/>
          <w:wAfter w:w="291" w:type="dxa"/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0" w:rsidRPr="002B5B6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2B5B60" w:rsidRPr="002B5B60" w:rsidRDefault="002B5B60" w:rsidP="00693FF3">
            <w:pPr>
              <w:rPr>
                <w:rFonts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0" w:rsidRPr="002B5B60" w:rsidRDefault="002B5B60" w:rsidP="00693FF3">
            <w:pPr>
              <w:rPr>
                <w:rFonts w:cs="Arial"/>
                <w:b/>
                <w:bCs/>
                <w:color w:val="000000"/>
                <w:szCs w:val="20"/>
                <w:lang w:val="cs-CZ" w:eastAsia="cs-CZ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60" w:rsidRPr="002B5B6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rPr>
                <w:rFonts w:cs="Arial"/>
                <w:b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rPr>
                <w:rFonts w:cs="Arial"/>
                <w:b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 w:eastAsia="cs-CZ"/>
              </w:rPr>
              <w:t>Cílová společnost (% podíl)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60" w:rsidRPr="00CD5970" w:rsidRDefault="002B5B60" w:rsidP="00693FF3">
            <w:pPr>
              <w:rPr>
                <w:rFonts w:cs="Arial"/>
                <w:b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 w:eastAsia="cs-CZ"/>
              </w:rPr>
              <w:t>Stát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rPr>
                <w:rFonts w:cs="Arial"/>
                <w:b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 w:eastAsia="cs-CZ"/>
              </w:rPr>
              <w:t>Kupující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rPr>
                <w:rFonts w:cs="Arial"/>
                <w:b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 w:eastAsia="cs-CZ"/>
              </w:rPr>
              <w:t>Stát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rPr>
                <w:rFonts w:cs="Arial"/>
                <w:b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 w:eastAsia="cs-CZ"/>
              </w:rPr>
              <w:t>Hodnota transakce (v mil. USD)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1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Stredoslovenská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 xml:space="preserve"> energetika, a.s. (49 %)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Slovensko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Energetický a průmyslový holding a.s.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516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2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Elektrárna Chvaletice (100 %)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Litvínovská uhelná a.s.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207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3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 xml:space="preserve">Část skupiny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Generali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 xml:space="preserve"> PPF Holding (navýšení o 51 %)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Rusko, Ukrajina, Kazachstán, Bělorusko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Skupina PPF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105**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4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RAFINÉRIE IZHEVSK (100 %)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Rusko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Obchodní tiskárny, a.s.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65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5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D PLAST-EFTEC a.s. (navýšení o 50 %)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Ems-chemie holding AG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Švýcarsko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65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6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Teplárna Otrokovice a.s. (100 %)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 xml:space="preserve">Petr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Lamich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51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7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Stará Celnice (100 %)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Invesco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 xml:space="preserve"> Real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Estate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USA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50</w:t>
            </w:r>
          </w:p>
        </w:tc>
      </w:tr>
      <w:tr w:rsidR="002B5B60" w:rsidRPr="00400FB2" w:rsidTr="00693F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8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Kancelářský komplex Zlatý kříž (100 %)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Anero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31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9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MBF Czech s.r.o. (100 %)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PREměření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, a.s.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16</w:t>
            </w:r>
          </w:p>
        </w:tc>
      </w:tr>
      <w:tr w:rsidR="002B5B60" w:rsidRPr="00400FB2" w:rsidTr="00693F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10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TYRES KNĚŽMOST, a.s. (100 %)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ČR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HORSCH Group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Německo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B60" w:rsidRPr="00CD5970" w:rsidRDefault="002B5B60" w:rsidP="00693FF3">
            <w:pPr>
              <w:jc w:val="right"/>
              <w:rPr>
                <w:rFonts w:cs="Arial"/>
                <w:color w:val="000000"/>
                <w:szCs w:val="20"/>
                <w:lang w:val="cs-CZ" w:eastAsia="cs-CZ"/>
              </w:rPr>
            </w:pPr>
            <w:r w:rsidRPr="00CD5970">
              <w:rPr>
                <w:rFonts w:cs="Arial"/>
                <w:color w:val="000000"/>
                <w:szCs w:val="20"/>
                <w:lang w:val="cs-CZ" w:eastAsia="cs-CZ"/>
              </w:rPr>
              <w:t>13</w:t>
            </w:r>
          </w:p>
        </w:tc>
      </w:tr>
    </w:tbl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2"/>
          <w:szCs w:val="22"/>
          <w:lang w:val="cs-CZ"/>
        </w:rPr>
      </w:pPr>
      <w:r w:rsidRPr="002B5B60">
        <w:rPr>
          <w:rFonts w:cs="Arial"/>
          <w:i/>
          <w:color w:val="000000"/>
          <w:sz w:val="22"/>
          <w:szCs w:val="22"/>
          <w:lang w:val="cs-CZ"/>
        </w:rPr>
        <w:t>Zdroj: M &amp; A Barometr H1 EY</w:t>
      </w:r>
    </w:p>
    <w:p w:rsidR="002B5B60" w:rsidRPr="002B5B60" w:rsidRDefault="002B5B60" w:rsidP="002B5B60">
      <w:pPr>
        <w:autoSpaceDE w:val="0"/>
        <w:autoSpaceDN w:val="0"/>
        <w:adjustRightInd w:val="0"/>
        <w:rPr>
          <w:rFonts w:cs="Arial"/>
          <w:i/>
          <w:color w:val="000000"/>
          <w:szCs w:val="20"/>
          <w:lang w:val="cs-CZ"/>
        </w:rPr>
      </w:pPr>
      <w:r w:rsidRPr="002B5B60">
        <w:rPr>
          <w:rFonts w:cs="Arial"/>
          <w:i/>
          <w:color w:val="000000"/>
          <w:szCs w:val="20"/>
          <w:lang w:val="cs-CZ"/>
        </w:rPr>
        <w:t xml:space="preserve">Akvizice společnosti Net4gas (provozovatel plynové přepravní soustavy) skupinami Allianz a </w:t>
      </w:r>
      <w:proofErr w:type="spellStart"/>
      <w:r w:rsidRPr="002B5B60">
        <w:rPr>
          <w:rFonts w:cs="Arial"/>
          <w:i/>
          <w:color w:val="000000"/>
          <w:szCs w:val="20"/>
          <w:lang w:val="cs-CZ"/>
        </w:rPr>
        <w:t>Borealis</w:t>
      </w:r>
      <w:proofErr w:type="spellEnd"/>
      <w:r w:rsidRPr="002B5B60">
        <w:rPr>
          <w:rFonts w:cs="Arial"/>
          <w:i/>
          <w:color w:val="000000"/>
          <w:szCs w:val="20"/>
          <w:lang w:val="cs-CZ"/>
        </w:rPr>
        <w:t xml:space="preserve"> (prodávajícím byla skupina RWE) byla největší oznámenou transakcí v první polovině roku 2013 (velikost transakce přesáhla 2 miliardy dolarů), transakce však byla definitivně dokončena až 2. srpna 2013.</w:t>
      </w:r>
    </w:p>
    <w:p w:rsidR="002B5B60" w:rsidRPr="002B5B60" w:rsidRDefault="002B5B60" w:rsidP="002B5B60">
      <w:pPr>
        <w:autoSpaceDE w:val="0"/>
        <w:autoSpaceDN w:val="0"/>
        <w:adjustRightInd w:val="0"/>
        <w:rPr>
          <w:rFonts w:cs="Arial"/>
          <w:i/>
          <w:color w:val="000000"/>
          <w:szCs w:val="20"/>
          <w:lang w:val="cs-CZ"/>
        </w:rPr>
      </w:pPr>
      <w:r w:rsidRPr="002B5B60">
        <w:rPr>
          <w:rFonts w:cs="Arial"/>
          <w:i/>
          <w:color w:val="000000"/>
          <w:szCs w:val="20"/>
          <w:lang w:val="cs-CZ"/>
        </w:rPr>
        <w:t xml:space="preserve">** Transakce představuje část procesu vypořádání majetkových podílů po ochodu skupiny PPF ze společného podniku s italskou pojišťovací skupinou </w:t>
      </w:r>
      <w:proofErr w:type="spellStart"/>
      <w:r w:rsidRPr="002B5B60">
        <w:rPr>
          <w:rFonts w:cs="Arial"/>
          <w:i/>
          <w:color w:val="000000"/>
          <w:szCs w:val="20"/>
          <w:lang w:val="cs-CZ"/>
        </w:rPr>
        <w:t>Generali</w:t>
      </w:r>
      <w:proofErr w:type="spellEnd"/>
      <w:r w:rsidRPr="002B5B60">
        <w:rPr>
          <w:rFonts w:cs="Arial"/>
          <w:i/>
          <w:color w:val="000000"/>
          <w:szCs w:val="20"/>
          <w:lang w:val="cs-CZ"/>
        </w:rPr>
        <w:t xml:space="preserve"> (celá operace není v této tabulce zanesena, neboť představuje navýšení podílu majoritním akcionářem a tedy nesplňuje</w:t>
      </w:r>
    </w:p>
    <w:p w:rsidR="002B5B60" w:rsidRPr="002B5B60" w:rsidRDefault="002B5B60" w:rsidP="002B5B60">
      <w:pPr>
        <w:autoSpaceDE w:val="0"/>
        <w:autoSpaceDN w:val="0"/>
        <w:adjustRightInd w:val="0"/>
        <w:rPr>
          <w:rFonts w:cs="Arial"/>
          <w:i/>
          <w:color w:val="000000"/>
          <w:szCs w:val="20"/>
          <w:lang w:val="cs-CZ"/>
        </w:rPr>
      </w:pPr>
      <w:r w:rsidRPr="002B5B60">
        <w:rPr>
          <w:rFonts w:cs="Arial"/>
          <w:i/>
          <w:color w:val="000000"/>
          <w:szCs w:val="20"/>
          <w:lang w:val="cs-CZ"/>
        </w:rPr>
        <w:t>jednu z deklarovaných podmínek)</w:t>
      </w:r>
    </w:p>
    <w:p w:rsid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2"/>
          <w:szCs w:val="22"/>
          <w:lang w:val="cs-CZ"/>
        </w:rPr>
      </w:pPr>
    </w:p>
    <w:p w:rsidR="00E92069" w:rsidRPr="002B5B60" w:rsidRDefault="00E92069" w:rsidP="002B5B60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rFonts w:cs="Arial"/>
          <w:b/>
          <w:color w:val="000000"/>
          <w:sz w:val="22"/>
          <w:szCs w:val="22"/>
          <w:lang w:val="cs-CZ"/>
        </w:rPr>
        <w:t>Fúze a akvizice v regionu střední a jihovýchodní Evropy</w:t>
      </w: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>Akviziční trh ve střední a jihovýchodní Evropě (Bulharsko, Česká republika, Chorvatsko, Řecko, Maďarsko, Polsko, Rumunsko, Srbsko, Slovensko, Slovinsko a Turecko) jako celek vzrostl o 20,7 %. V regionu se zvýšil v první polovině roku 2013 počet transakcí na 659 (z 546 transakcí v první polovině roku 2012). Nejvíce transakcí se uskutečnilo v Turecku (138), na druhém místě skončilo Bulharsko (109) a třetí Polsko (104). Ze všech 11 zemí pouze tři ohlásily pokles počtu realizovaných transakcí – Řecko, Polsko a Slovinsko. Nicméně hodnota transakcí poklesla oproti první polovině roku 201</w:t>
      </w:r>
      <w:r w:rsidR="00B30696">
        <w:rPr>
          <w:rFonts w:cs="Arial"/>
          <w:color w:val="000000"/>
          <w:sz w:val="22"/>
          <w:szCs w:val="22"/>
          <w:lang w:val="cs-CZ"/>
        </w:rPr>
        <w:t>2</w:t>
      </w:r>
      <w:r w:rsidRPr="002B5B60">
        <w:rPr>
          <w:rFonts w:cs="Arial"/>
          <w:color w:val="000000"/>
          <w:sz w:val="22"/>
          <w:szCs w:val="22"/>
          <w:lang w:val="cs-CZ"/>
        </w:rPr>
        <w:t xml:space="preserve"> o 41,8 %.</w:t>
      </w: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 xml:space="preserve">V  regionu bylo v první polovině roku 2013 oznámeno 659 realizovaných transakcí s odhadovanou celkovou velikostí 13,11 mld. dolarů. Nejatraktivnějšími obory z pohledu počtu transakcí byly výroba (97 transakcí), maloobchod &amp; velkoobchod (62 transakcí) a IT (62 transakcí). Z pohledu hodnoty realizovaných transakcí to byly bankovnictví a finanční služby, velkoobchod &amp; maloobchod a chemický průmysl. </w:t>
      </w: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 xml:space="preserve">Domácí transakce </w:t>
      </w:r>
      <w:r w:rsidR="00D45819">
        <w:rPr>
          <w:rFonts w:cs="Arial"/>
          <w:color w:val="000000"/>
          <w:sz w:val="22"/>
          <w:szCs w:val="22"/>
          <w:lang w:val="cs-CZ"/>
        </w:rPr>
        <w:t xml:space="preserve">(provedené domácími investory) </w:t>
      </w:r>
      <w:r w:rsidRPr="002B5B60">
        <w:rPr>
          <w:rFonts w:cs="Arial"/>
          <w:color w:val="000000"/>
          <w:sz w:val="22"/>
          <w:szCs w:val="22"/>
          <w:lang w:val="cs-CZ"/>
        </w:rPr>
        <w:t>byly nejvíce populární v Chorvatsku, Bulharsku, Polsku, Maďarsku a Rumunsku.</w:t>
      </w:r>
      <w:r w:rsidRPr="002B5B60" w:rsidDel="004F5C18">
        <w:rPr>
          <w:rFonts w:cs="Arial"/>
          <w:color w:val="000000"/>
          <w:sz w:val="22"/>
          <w:szCs w:val="22"/>
          <w:lang w:val="cs-CZ"/>
        </w:rPr>
        <w:t xml:space="preserve"> </w:t>
      </w:r>
      <w:r w:rsidRPr="002B5B60">
        <w:rPr>
          <w:rFonts w:cs="Arial"/>
          <w:color w:val="000000"/>
          <w:sz w:val="22"/>
          <w:szCs w:val="22"/>
          <w:lang w:val="cs-CZ"/>
        </w:rPr>
        <w:t xml:space="preserve"> Naopak </w:t>
      </w:r>
      <w:proofErr w:type="gramStart"/>
      <w:r w:rsidRPr="002B5B60">
        <w:rPr>
          <w:rFonts w:cs="Arial"/>
          <w:color w:val="000000"/>
          <w:sz w:val="22"/>
          <w:szCs w:val="22"/>
          <w:lang w:val="cs-CZ"/>
        </w:rPr>
        <w:t>nejvíce  transakcí</w:t>
      </w:r>
      <w:proofErr w:type="gramEnd"/>
      <w:r w:rsidRPr="002B5B60">
        <w:rPr>
          <w:rFonts w:cs="Arial"/>
          <w:color w:val="000000"/>
          <w:sz w:val="22"/>
          <w:szCs w:val="22"/>
          <w:lang w:val="cs-CZ"/>
        </w:rPr>
        <w:t xml:space="preserve"> </w:t>
      </w:r>
      <w:r w:rsidR="00874AF4">
        <w:rPr>
          <w:rFonts w:cs="Arial"/>
          <w:color w:val="000000"/>
          <w:sz w:val="22"/>
          <w:szCs w:val="22"/>
          <w:lang w:val="cs-CZ"/>
        </w:rPr>
        <w:t xml:space="preserve">v zahraničí realizovali investoři z </w:t>
      </w:r>
      <w:r w:rsidRPr="002B5B60">
        <w:rPr>
          <w:rFonts w:cs="Arial"/>
          <w:color w:val="000000"/>
          <w:sz w:val="22"/>
          <w:szCs w:val="22"/>
          <w:lang w:val="cs-CZ"/>
        </w:rPr>
        <w:t xml:space="preserve"> Česk</w:t>
      </w:r>
      <w:r w:rsidR="00874AF4">
        <w:rPr>
          <w:rFonts w:cs="Arial"/>
          <w:color w:val="000000"/>
          <w:sz w:val="22"/>
          <w:szCs w:val="22"/>
          <w:lang w:val="cs-CZ"/>
        </w:rPr>
        <w:t>é</w:t>
      </w:r>
      <w:r w:rsidRPr="002B5B60">
        <w:rPr>
          <w:rFonts w:cs="Arial"/>
          <w:color w:val="000000"/>
          <w:sz w:val="22"/>
          <w:szCs w:val="22"/>
          <w:lang w:val="cs-CZ"/>
        </w:rPr>
        <w:t xml:space="preserve"> republik</w:t>
      </w:r>
      <w:r w:rsidR="00874AF4">
        <w:rPr>
          <w:rFonts w:cs="Arial"/>
          <w:color w:val="000000"/>
          <w:sz w:val="22"/>
          <w:szCs w:val="22"/>
          <w:lang w:val="cs-CZ"/>
        </w:rPr>
        <w:t>y</w:t>
      </w:r>
      <w:r w:rsidRPr="002B5B60">
        <w:rPr>
          <w:rFonts w:cs="Arial"/>
          <w:color w:val="000000"/>
          <w:sz w:val="22"/>
          <w:szCs w:val="22"/>
          <w:lang w:val="cs-CZ"/>
        </w:rPr>
        <w:t xml:space="preserve"> (17), a to především na Slovensku (7 transakcí). Na druhém místě se umístilo Polsko a Turecko shodně s dvanácti transakcemi</w:t>
      </w:r>
      <w:r w:rsidR="00874AF4">
        <w:rPr>
          <w:rFonts w:cs="Arial"/>
          <w:color w:val="000000"/>
          <w:sz w:val="22"/>
          <w:szCs w:val="22"/>
          <w:lang w:val="cs-CZ"/>
        </w:rPr>
        <w:t xml:space="preserve"> v zahraničí</w:t>
      </w:r>
      <w:r w:rsidRPr="002B5B60">
        <w:rPr>
          <w:rFonts w:cs="Arial"/>
          <w:color w:val="000000"/>
          <w:sz w:val="22"/>
          <w:szCs w:val="22"/>
          <w:lang w:val="cs-CZ"/>
        </w:rPr>
        <w:t>. Nejvíce aktivní v regionu byla Česká republika (12) a Polsko (11).</w:t>
      </w: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color w:val="000000"/>
          <w:sz w:val="22"/>
          <w:szCs w:val="22"/>
          <w:lang w:val="cs-CZ"/>
        </w:rPr>
        <w:t xml:space="preserve">Zajímavé je, že pouze 2,6 % transakcí překročilo hodnotu 100 mil. dolarů. Vůbec největší transakcí s oznámenou hodnotou byla v první polovině roku 2013 koupě turecké </w:t>
      </w:r>
      <w:proofErr w:type="spellStart"/>
      <w:r w:rsidRPr="002B5B60">
        <w:rPr>
          <w:rFonts w:cs="Arial"/>
          <w:color w:val="000000"/>
          <w:sz w:val="22"/>
          <w:szCs w:val="22"/>
          <w:lang w:val="cs-CZ"/>
        </w:rPr>
        <w:t>Yapi</w:t>
      </w:r>
      <w:proofErr w:type="spellEnd"/>
      <w:r w:rsidRPr="002B5B60">
        <w:rPr>
          <w:rFonts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2B5B60">
        <w:rPr>
          <w:rFonts w:cs="Arial"/>
          <w:color w:val="000000"/>
          <w:sz w:val="22"/>
          <w:szCs w:val="22"/>
          <w:lang w:val="cs-CZ"/>
        </w:rPr>
        <w:t>Kredi</w:t>
      </w:r>
      <w:proofErr w:type="spellEnd"/>
      <w:r w:rsidRPr="002B5B60">
        <w:rPr>
          <w:rFonts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2B5B60">
        <w:rPr>
          <w:rFonts w:cs="Arial"/>
          <w:color w:val="000000"/>
          <w:sz w:val="22"/>
          <w:szCs w:val="22"/>
          <w:lang w:val="cs-CZ"/>
        </w:rPr>
        <w:t>Sigorta</w:t>
      </w:r>
      <w:proofErr w:type="spellEnd"/>
      <w:r w:rsidRPr="002B5B60">
        <w:rPr>
          <w:rFonts w:cs="Arial"/>
          <w:color w:val="000000"/>
          <w:sz w:val="22"/>
          <w:szCs w:val="22"/>
          <w:lang w:val="cs-CZ"/>
        </w:rPr>
        <w:t xml:space="preserve"> německou Allianz </w:t>
      </w:r>
      <w:proofErr w:type="gramStart"/>
      <w:r w:rsidRPr="002B5B60">
        <w:rPr>
          <w:rFonts w:cs="Arial"/>
          <w:color w:val="000000"/>
          <w:sz w:val="22"/>
          <w:szCs w:val="22"/>
          <w:lang w:val="cs-CZ"/>
        </w:rPr>
        <w:t>SE</w:t>
      </w:r>
      <w:proofErr w:type="gramEnd"/>
      <w:r w:rsidRPr="002B5B60">
        <w:rPr>
          <w:rFonts w:cs="Arial"/>
          <w:color w:val="000000"/>
          <w:sz w:val="22"/>
          <w:szCs w:val="22"/>
          <w:lang w:val="cs-CZ"/>
        </w:rPr>
        <w:t xml:space="preserve"> za více než 913 mil. dolarů. </w:t>
      </w:r>
    </w:p>
    <w:p w:rsidR="00D45819" w:rsidRDefault="00D45819">
      <w:pPr>
        <w:rPr>
          <w:rFonts w:cs="Arial"/>
          <w:color w:val="000000"/>
          <w:sz w:val="22"/>
          <w:szCs w:val="22"/>
          <w:lang w:val="cs-CZ"/>
        </w:rPr>
      </w:pPr>
      <w:r>
        <w:rPr>
          <w:rFonts w:cs="Arial"/>
          <w:color w:val="000000"/>
          <w:sz w:val="22"/>
          <w:szCs w:val="22"/>
          <w:lang w:val="cs-CZ"/>
        </w:rPr>
        <w:br w:type="page"/>
      </w: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rFonts w:cs="Arial"/>
          <w:b/>
          <w:color w:val="000000"/>
          <w:sz w:val="22"/>
          <w:szCs w:val="22"/>
          <w:lang w:val="cs-CZ"/>
        </w:rPr>
        <w:t>Top 10 největších transakcí v první polovině roku 2013 v regionu střední a jihovýchodní Evropy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</w:tblGrid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b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/>
              </w:rPr>
              <w:t>Cílová společnost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b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/>
              </w:rPr>
              <w:t>Stát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b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/>
              </w:rPr>
              <w:t>Kupující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b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/>
              </w:rPr>
              <w:t>Stát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b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b/>
                <w:color w:val="000000"/>
                <w:szCs w:val="20"/>
                <w:lang w:val="cs-CZ"/>
              </w:rPr>
              <w:t>Hodnota transakce v mil. USD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Yapi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Kredi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Sigorta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Turecko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Allianz </w:t>
            </w:r>
            <w:proofErr w:type="gramStart"/>
            <w:r w:rsidRPr="00CD5970">
              <w:rPr>
                <w:rFonts w:cs="Arial"/>
                <w:color w:val="000000"/>
                <w:szCs w:val="20"/>
                <w:lang w:val="cs-CZ"/>
              </w:rPr>
              <w:t>SE</w:t>
            </w:r>
            <w:proofErr w:type="gram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Německo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913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Follie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(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travel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retail business)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Řecko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Dufry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AG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Švýcarsko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703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Zaklady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Azotowe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Pulawy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Polsko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Zaklady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Azotowe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w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Tarnowie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Moscicach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Polsko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594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Středoslovenská energetika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Slovensko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Energetický a Průmyslový Holding a.s.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Česká republika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516*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Alternatif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Bank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Turecko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Commercial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Bank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of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Qatar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Qatar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432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Dong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Energy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(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Polish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wind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power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assets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>)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Polsko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Energa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Hydro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Sp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>. Z </w:t>
            </w:r>
            <w:proofErr w:type="spellStart"/>
            <w:proofErr w:type="gramStart"/>
            <w:r w:rsidRPr="00CD5970">
              <w:rPr>
                <w:rFonts w:cs="Arial"/>
                <w:color w:val="000000"/>
                <w:szCs w:val="20"/>
                <w:lang w:val="cs-CZ"/>
              </w:rPr>
              <w:t>o.o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>.</w:t>
            </w:r>
            <w:proofErr w:type="gram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; Polska Grupa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Energetyczna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gramStart"/>
            <w:r w:rsidRPr="00CD5970">
              <w:rPr>
                <w:rFonts w:cs="Arial"/>
                <w:color w:val="000000"/>
                <w:szCs w:val="20"/>
                <w:lang w:val="cs-CZ"/>
              </w:rPr>
              <w:t>S.A.</w:t>
            </w:r>
            <w:proofErr w:type="gram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Polsko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320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Beymen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Magazacilik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Turecko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Altinyildiz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Turecko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287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Iberdrola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Renewables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Polska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Poland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Energa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Hydro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Sp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>. Z </w:t>
            </w:r>
            <w:proofErr w:type="spellStart"/>
            <w:proofErr w:type="gramStart"/>
            <w:r w:rsidRPr="00CD5970">
              <w:rPr>
                <w:rFonts w:cs="Arial"/>
                <w:color w:val="000000"/>
                <w:szCs w:val="20"/>
                <w:lang w:val="cs-CZ"/>
              </w:rPr>
              <w:t>o.o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>.</w:t>
            </w:r>
            <w:proofErr w:type="gram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; Polska Grupa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Energetyczna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gramStart"/>
            <w:r w:rsidRPr="00CD5970">
              <w:rPr>
                <w:rFonts w:cs="Arial"/>
                <w:color w:val="000000"/>
                <w:szCs w:val="20"/>
                <w:lang w:val="cs-CZ"/>
              </w:rPr>
              <w:t>S.A.</w:t>
            </w:r>
            <w:proofErr w:type="gram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Polsko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272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Veolia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Transdev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Central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Europe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Slovinsko, Srbsko, ČR, Slovensko, Polsko, Chorvatsko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Deutsche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Bahn</w:t>
            </w:r>
            <w:proofErr w:type="spellEnd"/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Německo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263</w:t>
            </w:r>
          </w:p>
        </w:tc>
      </w:tr>
      <w:tr w:rsidR="002B5B60" w:rsidRPr="00CD5970" w:rsidTr="00693FF3"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Chvaletice </w:t>
            </w:r>
            <w:proofErr w:type="spellStart"/>
            <w:r w:rsidRPr="00CD5970">
              <w:rPr>
                <w:rFonts w:cs="Arial"/>
                <w:color w:val="000000"/>
                <w:szCs w:val="20"/>
                <w:lang w:val="cs-CZ"/>
              </w:rPr>
              <w:t>Power</w:t>
            </w:r>
            <w:proofErr w:type="spellEnd"/>
            <w:r w:rsidRPr="00CD5970">
              <w:rPr>
                <w:rFonts w:cs="Arial"/>
                <w:color w:val="000000"/>
                <w:szCs w:val="20"/>
                <w:lang w:val="cs-CZ"/>
              </w:rPr>
              <w:t xml:space="preserve"> Plant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ČR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Litvínovská uhelná a.s.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ČR</w:t>
            </w:r>
          </w:p>
        </w:tc>
        <w:tc>
          <w:tcPr>
            <w:tcW w:w="1882" w:type="dxa"/>
          </w:tcPr>
          <w:p w:rsidR="002B5B60" w:rsidRPr="00CD5970" w:rsidRDefault="002B5B60" w:rsidP="00693FF3">
            <w:pPr>
              <w:spacing w:line="360" w:lineRule="auto"/>
              <w:rPr>
                <w:rFonts w:cs="Arial"/>
                <w:color w:val="000000"/>
                <w:szCs w:val="20"/>
                <w:lang w:val="cs-CZ"/>
              </w:rPr>
            </w:pPr>
            <w:r w:rsidRPr="00CD5970">
              <w:rPr>
                <w:rFonts w:cs="Arial"/>
                <w:color w:val="000000"/>
                <w:szCs w:val="20"/>
                <w:lang w:val="cs-CZ"/>
              </w:rPr>
              <w:t>207</w:t>
            </w:r>
          </w:p>
        </w:tc>
      </w:tr>
    </w:tbl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2B5B60" w:rsidRDefault="002B5B60" w:rsidP="002B5B60">
      <w:pPr>
        <w:spacing w:line="360" w:lineRule="auto"/>
        <w:rPr>
          <w:rFonts w:cs="Arial"/>
          <w:b/>
          <w:color w:val="000000"/>
          <w:sz w:val="22"/>
          <w:szCs w:val="22"/>
          <w:lang w:val="cs-CZ"/>
        </w:rPr>
      </w:pPr>
      <w:r w:rsidRPr="002B5B60">
        <w:rPr>
          <w:rFonts w:cs="Arial"/>
          <w:b/>
          <w:color w:val="000000"/>
          <w:sz w:val="22"/>
          <w:szCs w:val="22"/>
          <w:lang w:val="cs-CZ"/>
        </w:rPr>
        <w:t>Výhled na nejbližších 12 měsíců</w:t>
      </w:r>
    </w:p>
    <w:p w:rsidR="002B5B60" w:rsidRPr="002B5B60" w:rsidRDefault="002B5B60" w:rsidP="002B5B60">
      <w:pPr>
        <w:spacing w:line="360" w:lineRule="auto"/>
        <w:rPr>
          <w:rFonts w:cs="Arial"/>
          <w:color w:val="000000"/>
          <w:sz w:val="22"/>
          <w:szCs w:val="22"/>
          <w:lang w:val="cs-CZ"/>
        </w:rPr>
      </w:pPr>
      <w:r w:rsidRPr="002B5B60">
        <w:rPr>
          <w:rFonts w:cs="Arial"/>
          <w:i/>
          <w:color w:val="000000"/>
          <w:sz w:val="22"/>
          <w:szCs w:val="22"/>
          <w:lang w:val="cs-CZ"/>
        </w:rPr>
        <w:t xml:space="preserve">„Rok 2013 bude z pohledu počtu transakcí realizovaných v České republice určitě lepší než rok předchozí. V posledním čtvrtletí očekáváme dokončení některých již rozjednaných </w:t>
      </w:r>
      <w:r w:rsidRPr="002B5B60">
        <w:rPr>
          <w:rFonts w:cs="Arial"/>
          <w:i/>
          <w:color w:val="000000"/>
          <w:sz w:val="22"/>
          <w:szCs w:val="22"/>
          <w:lang w:val="cs-CZ"/>
        </w:rPr>
        <w:lastRenderedPageBreak/>
        <w:t>transakcí v oblasti telekomunikací, médií nebo strojírenství. Na trhu je aktuálně obrovský nadbytek volného kapitálu, největší překážkou intenzivnější transakční aktivity je tak nedostatek zajímavých a dostatečně velkých investičních příležitostí,“</w:t>
      </w:r>
      <w:r w:rsidRPr="002B5B60">
        <w:rPr>
          <w:rFonts w:cs="Arial"/>
          <w:color w:val="000000"/>
          <w:sz w:val="22"/>
          <w:szCs w:val="22"/>
          <w:lang w:val="cs-CZ"/>
        </w:rPr>
        <w:t xml:space="preserve"> dodává Petr Kříž.</w:t>
      </w:r>
    </w:p>
    <w:p w:rsidR="002B5B60" w:rsidRPr="002B5B60" w:rsidRDefault="002B5B60" w:rsidP="002B5B60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cs-CZ"/>
        </w:rPr>
      </w:pPr>
    </w:p>
    <w:p w:rsidR="002B5B60" w:rsidRPr="00400FB2" w:rsidRDefault="002B5B60" w:rsidP="00400FB2">
      <w:pPr>
        <w:spacing w:line="360" w:lineRule="auto"/>
        <w:rPr>
          <w:rFonts w:cs="Arial"/>
          <w:b/>
          <w:bCs/>
          <w:sz w:val="18"/>
          <w:szCs w:val="18"/>
          <w:lang w:val="cs-CZ"/>
        </w:rPr>
      </w:pPr>
      <w:r w:rsidRPr="00400FB2">
        <w:rPr>
          <w:rFonts w:cs="Arial"/>
          <w:b/>
          <w:bCs/>
          <w:sz w:val="18"/>
          <w:szCs w:val="18"/>
          <w:lang w:val="cs-CZ"/>
        </w:rPr>
        <w:t>O průzkumu</w:t>
      </w:r>
    </w:p>
    <w:p w:rsidR="002B5B60" w:rsidRPr="00032D56" w:rsidRDefault="002B5B60" w:rsidP="00032D56">
      <w:pPr>
        <w:rPr>
          <w:rFonts w:cs="Arial"/>
          <w:sz w:val="18"/>
          <w:szCs w:val="18"/>
          <w:lang w:val="cs-CZ" w:eastAsia="cs-CZ"/>
        </w:rPr>
      </w:pPr>
      <w:r w:rsidRPr="00032D56">
        <w:rPr>
          <w:rFonts w:cs="Arial"/>
          <w:sz w:val="18"/>
          <w:szCs w:val="18"/>
          <w:lang w:val="cs-CZ" w:eastAsia="cs-CZ"/>
        </w:rPr>
        <w:t xml:space="preserve">M&amp;A barometr vydávaný společností  EY </w:t>
      </w:r>
      <w:proofErr w:type="gramStart"/>
      <w:r w:rsidRPr="00032D56">
        <w:rPr>
          <w:rFonts w:cs="Arial"/>
          <w:sz w:val="18"/>
          <w:szCs w:val="18"/>
          <w:lang w:val="cs-CZ" w:eastAsia="cs-CZ"/>
        </w:rPr>
        <w:t>analyzuje</w:t>
      </w:r>
      <w:proofErr w:type="gramEnd"/>
      <w:r w:rsidRPr="00032D56">
        <w:rPr>
          <w:rFonts w:cs="Arial"/>
          <w:sz w:val="18"/>
          <w:szCs w:val="18"/>
          <w:lang w:val="cs-CZ" w:eastAsia="cs-CZ"/>
        </w:rPr>
        <w:t xml:space="preserve"> veřejně dostupné informace pocházející</w:t>
      </w:r>
      <w:r w:rsidR="00D45819">
        <w:rPr>
          <w:rFonts w:cs="Arial"/>
          <w:sz w:val="18"/>
          <w:szCs w:val="18"/>
          <w:lang w:val="cs-CZ" w:eastAsia="cs-CZ"/>
        </w:rPr>
        <w:t xml:space="preserve"> </w:t>
      </w:r>
      <w:r w:rsidRPr="00032D56">
        <w:rPr>
          <w:rFonts w:cs="Arial"/>
          <w:sz w:val="18"/>
          <w:szCs w:val="18"/>
          <w:lang w:val="cs-CZ" w:eastAsia="cs-CZ"/>
        </w:rPr>
        <w:t xml:space="preserve">z různých renomovaných databází </w:t>
      </w:r>
      <w:r w:rsidR="00CD5970">
        <w:rPr>
          <w:rFonts w:cs="Arial"/>
          <w:sz w:val="18"/>
          <w:szCs w:val="18"/>
          <w:lang w:val="cs-CZ" w:eastAsia="cs-CZ"/>
        </w:rPr>
        <w:t xml:space="preserve"> </w:t>
      </w:r>
      <w:r w:rsidRPr="00032D56">
        <w:rPr>
          <w:rFonts w:cs="Arial"/>
          <w:sz w:val="18"/>
          <w:szCs w:val="18"/>
          <w:lang w:val="cs-CZ" w:eastAsia="cs-CZ"/>
        </w:rPr>
        <w:t xml:space="preserve">jako </w:t>
      </w:r>
      <w:proofErr w:type="gramStart"/>
      <w:r w:rsidRPr="00032D56">
        <w:rPr>
          <w:rFonts w:cs="Arial"/>
          <w:sz w:val="18"/>
          <w:szCs w:val="18"/>
          <w:lang w:val="cs-CZ" w:eastAsia="cs-CZ"/>
        </w:rPr>
        <w:t>jsou</w:t>
      </w:r>
      <w:proofErr w:type="gramEnd"/>
      <w:r w:rsidRPr="00032D56">
        <w:rPr>
          <w:rFonts w:cs="Arial"/>
          <w:sz w:val="18"/>
          <w:szCs w:val="18"/>
          <w:lang w:val="cs-CZ" w:eastAsia="cs-CZ"/>
        </w:rPr>
        <w:t xml:space="preserve"> </w:t>
      </w:r>
      <w:proofErr w:type="spellStart"/>
      <w:r w:rsidRPr="00032D56">
        <w:rPr>
          <w:rFonts w:cs="Arial"/>
          <w:sz w:val="18"/>
          <w:szCs w:val="18"/>
          <w:lang w:val="cs-CZ" w:eastAsia="cs-CZ"/>
        </w:rPr>
        <w:t>Capital</w:t>
      </w:r>
      <w:proofErr w:type="spellEnd"/>
      <w:r w:rsidRPr="00032D56">
        <w:rPr>
          <w:rFonts w:cs="Arial"/>
          <w:sz w:val="18"/>
          <w:szCs w:val="18"/>
          <w:lang w:val="cs-CZ" w:eastAsia="cs-CZ"/>
        </w:rPr>
        <w:t xml:space="preserve"> IQ, </w:t>
      </w:r>
      <w:proofErr w:type="spellStart"/>
      <w:r w:rsidRPr="00032D56">
        <w:rPr>
          <w:rFonts w:cs="Arial"/>
          <w:sz w:val="18"/>
          <w:szCs w:val="18"/>
          <w:lang w:val="cs-CZ" w:eastAsia="cs-CZ"/>
        </w:rPr>
        <w:t>DealWatch</w:t>
      </w:r>
      <w:proofErr w:type="spellEnd"/>
      <w:r w:rsidRPr="00032D56">
        <w:rPr>
          <w:rFonts w:cs="Arial"/>
          <w:sz w:val="18"/>
          <w:szCs w:val="18"/>
          <w:lang w:val="cs-CZ" w:eastAsia="cs-CZ"/>
        </w:rPr>
        <w:t xml:space="preserve">, </w:t>
      </w:r>
      <w:proofErr w:type="spellStart"/>
      <w:r w:rsidRPr="00032D56">
        <w:rPr>
          <w:rFonts w:cs="Arial"/>
          <w:sz w:val="18"/>
          <w:szCs w:val="18"/>
          <w:lang w:val="cs-CZ" w:eastAsia="cs-CZ"/>
        </w:rPr>
        <w:t>mergermarket</w:t>
      </w:r>
      <w:proofErr w:type="spellEnd"/>
      <w:r w:rsidRPr="00032D56">
        <w:rPr>
          <w:rFonts w:cs="Arial"/>
          <w:sz w:val="18"/>
          <w:szCs w:val="18"/>
          <w:lang w:val="cs-CZ" w:eastAsia="cs-CZ"/>
        </w:rPr>
        <w:t xml:space="preserve">, </w:t>
      </w:r>
      <w:proofErr w:type="spellStart"/>
      <w:r w:rsidRPr="00032D56">
        <w:rPr>
          <w:rFonts w:cs="Arial"/>
          <w:sz w:val="18"/>
          <w:szCs w:val="18"/>
          <w:lang w:val="cs-CZ" w:eastAsia="cs-CZ"/>
        </w:rPr>
        <w:t>Zephyr</w:t>
      </w:r>
      <w:proofErr w:type="spellEnd"/>
      <w:r w:rsidRPr="00032D56">
        <w:rPr>
          <w:rFonts w:cs="Arial"/>
          <w:sz w:val="18"/>
          <w:szCs w:val="18"/>
          <w:lang w:val="cs-CZ" w:eastAsia="cs-CZ"/>
        </w:rPr>
        <w:t xml:space="preserve"> nebo vlastní databáze EY. Data byla zpracována za oblast střední a jihovýchodní Evropy: Bulharsko, Českou republiku, Chorvatsko, Řecko, Maďarsko, Polsko, Rumunsko, Srbsko, Slovensko, Slovinsko a Turecko. M&amp;A aktivity a data zahrnují dokončené transakce. V analýze se nezohledňují následující transakce: převzetí menšinových podílů většinovým akcionářem, transakce na kapitálových trzích, akvizice licencí, společné podniky (joint-venture), investiční projekty „na zelené </w:t>
      </w:r>
      <w:proofErr w:type="spellStart"/>
      <w:r w:rsidRPr="00032D56">
        <w:rPr>
          <w:rFonts w:cs="Arial"/>
          <w:sz w:val="18"/>
          <w:szCs w:val="18"/>
          <w:lang w:val="cs-CZ" w:eastAsia="cs-CZ"/>
        </w:rPr>
        <w:t>louce“a</w:t>
      </w:r>
      <w:proofErr w:type="spellEnd"/>
      <w:r w:rsidRPr="00032D56">
        <w:rPr>
          <w:rFonts w:cs="Arial"/>
          <w:sz w:val="18"/>
          <w:szCs w:val="18"/>
          <w:lang w:val="cs-CZ" w:eastAsia="cs-CZ"/>
        </w:rPr>
        <w:t xml:space="preserve"> privatizace.</w:t>
      </w:r>
    </w:p>
    <w:p w:rsidR="002B5B60" w:rsidRPr="002B5B60" w:rsidRDefault="002B5B60" w:rsidP="002B5B60">
      <w:pPr>
        <w:autoSpaceDE w:val="0"/>
        <w:autoSpaceDN w:val="0"/>
        <w:adjustRightInd w:val="0"/>
        <w:rPr>
          <w:rFonts w:cs="Arial"/>
          <w:kern w:val="12"/>
          <w:sz w:val="18"/>
          <w:szCs w:val="18"/>
          <w:lang w:val="cs-CZ"/>
        </w:rPr>
      </w:pPr>
    </w:p>
    <w:p w:rsidR="002B5B60" w:rsidRPr="002B5B60" w:rsidRDefault="002B5B60" w:rsidP="002B5B60">
      <w:pPr>
        <w:ind w:right="-85"/>
        <w:rPr>
          <w:rFonts w:cs="Arial"/>
          <w:sz w:val="18"/>
          <w:szCs w:val="18"/>
          <w:lang w:val="cs-CZ"/>
        </w:rPr>
      </w:pPr>
    </w:p>
    <w:p w:rsidR="003C43B1" w:rsidRPr="002B5B60" w:rsidRDefault="003C43B1" w:rsidP="003C43B1">
      <w:pPr>
        <w:spacing w:line="360" w:lineRule="auto"/>
        <w:rPr>
          <w:rFonts w:cs="Arial"/>
          <w:b/>
          <w:bCs/>
          <w:sz w:val="18"/>
          <w:szCs w:val="18"/>
          <w:lang w:val="cs-CZ"/>
        </w:rPr>
      </w:pPr>
      <w:r w:rsidRPr="002B5B60">
        <w:rPr>
          <w:rFonts w:cs="Arial"/>
          <w:b/>
          <w:bCs/>
          <w:sz w:val="18"/>
          <w:szCs w:val="18"/>
          <w:lang w:val="cs-CZ"/>
        </w:rPr>
        <w:t>O EY</w:t>
      </w:r>
    </w:p>
    <w:p w:rsidR="003C43B1" w:rsidRPr="00032D56" w:rsidRDefault="003C43B1" w:rsidP="003C43B1">
      <w:pPr>
        <w:rPr>
          <w:rFonts w:cs="Arial"/>
          <w:sz w:val="18"/>
          <w:szCs w:val="18"/>
          <w:lang w:val="cs-CZ" w:eastAsia="cs-CZ"/>
        </w:rPr>
      </w:pPr>
      <w:r w:rsidRPr="00032D56">
        <w:rPr>
          <w:rFonts w:cs="Arial"/>
          <w:sz w:val="18"/>
          <w:szCs w:val="18"/>
          <w:lang w:val="cs-CZ" w:eastAsia="cs-CZ"/>
        </w:rPr>
        <w:t>EY je předním celosvětovým poskytovatelem odborných poradenských služeb v oblasti auditu, daní, transakčního a podnikového poradenství. Znalost problematiky a kvalita služeb, které poskytujeme, přispívají k posilování důvěry v kapitálové trhy i v ekonomiky celého světa. Výjimečný lidský a odborný potenciál nám umožňuje hrát významnou roli při vytváření lepšího prostředí pro naše zaměstnance, klienty i pro širší společnost.</w:t>
      </w:r>
    </w:p>
    <w:p w:rsidR="003C43B1" w:rsidRPr="002B5B60" w:rsidRDefault="003C43B1" w:rsidP="003C43B1">
      <w:pPr>
        <w:spacing w:line="360" w:lineRule="auto"/>
        <w:rPr>
          <w:rFonts w:cs="Arial"/>
          <w:bCs/>
          <w:sz w:val="18"/>
          <w:szCs w:val="18"/>
          <w:lang w:val="cs-CZ"/>
        </w:rPr>
      </w:pPr>
    </w:p>
    <w:p w:rsidR="00983AF3" w:rsidRPr="002B5B60" w:rsidRDefault="003C43B1" w:rsidP="006F7DE7">
      <w:pPr>
        <w:rPr>
          <w:rFonts w:cs="Arial"/>
          <w:i/>
          <w:sz w:val="16"/>
          <w:szCs w:val="16"/>
          <w:lang w:val="cs-CZ" w:eastAsia="cs-CZ"/>
        </w:rPr>
      </w:pPr>
      <w:r w:rsidRPr="002B5B60">
        <w:rPr>
          <w:rFonts w:cs="Arial"/>
          <w:i/>
          <w:sz w:val="16"/>
          <w:szCs w:val="16"/>
          <w:lang w:val="cs-CZ" w:eastAsia="cs-CZ"/>
        </w:rPr>
        <w:t xml:space="preserve">Název EY zahrnuje celosvětovou organizaci a může zahrnovat jednu či více členských firem Ernst &amp; </w:t>
      </w:r>
      <w:proofErr w:type="spellStart"/>
      <w:r w:rsidRPr="002B5B60">
        <w:rPr>
          <w:rFonts w:cs="Arial"/>
          <w:i/>
          <w:sz w:val="16"/>
          <w:szCs w:val="16"/>
          <w:lang w:val="cs-CZ" w:eastAsia="cs-CZ"/>
        </w:rPr>
        <w:t>Young</w:t>
      </w:r>
      <w:proofErr w:type="spellEnd"/>
      <w:r w:rsidRPr="002B5B60">
        <w:rPr>
          <w:rFonts w:cs="Arial"/>
          <w:i/>
          <w:sz w:val="16"/>
          <w:szCs w:val="16"/>
          <w:lang w:val="cs-CZ" w:eastAsia="cs-CZ"/>
        </w:rPr>
        <w:t xml:space="preserve"> </w:t>
      </w:r>
      <w:proofErr w:type="spellStart"/>
      <w:r w:rsidRPr="002B5B60">
        <w:rPr>
          <w:rFonts w:cs="Arial"/>
          <w:i/>
          <w:sz w:val="16"/>
          <w:szCs w:val="16"/>
          <w:lang w:val="cs-CZ" w:eastAsia="cs-CZ"/>
        </w:rPr>
        <w:t>Global</w:t>
      </w:r>
      <w:proofErr w:type="spellEnd"/>
      <w:r w:rsidRPr="002B5B60">
        <w:rPr>
          <w:rFonts w:cs="Arial"/>
          <w:i/>
          <w:sz w:val="16"/>
          <w:szCs w:val="16"/>
          <w:lang w:val="cs-CZ" w:eastAsia="cs-CZ"/>
        </w:rPr>
        <w:t xml:space="preserve"> Limited, z nichž každá je samostatnou právnickou osobou. Ernst &amp; </w:t>
      </w:r>
      <w:proofErr w:type="spellStart"/>
      <w:r w:rsidRPr="002B5B60">
        <w:rPr>
          <w:rFonts w:cs="Arial"/>
          <w:i/>
          <w:sz w:val="16"/>
          <w:szCs w:val="16"/>
          <w:lang w:val="cs-CZ" w:eastAsia="cs-CZ"/>
        </w:rPr>
        <w:t>Young</w:t>
      </w:r>
      <w:proofErr w:type="spellEnd"/>
      <w:r w:rsidRPr="002B5B60">
        <w:rPr>
          <w:rFonts w:cs="Arial"/>
          <w:i/>
          <w:sz w:val="16"/>
          <w:szCs w:val="16"/>
          <w:lang w:val="cs-CZ" w:eastAsia="cs-CZ"/>
        </w:rPr>
        <w:t xml:space="preserve"> </w:t>
      </w:r>
      <w:proofErr w:type="spellStart"/>
      <w:r w:rsidRPr="002B5B60">
        <w:rPr>
          <w:rFonts w:cs="Arial"/>
          <w:i/>
          <w:sz w:val="16"/>
          <w:szCs w:val="16"/>
          <w:lang w:val="cs-CZ" w:eastAsia="cs-CZ"/>
        </w:rPr>
        <w:t>Global</w:t>
      </w:r>
      <w:proofErr w:type="spellEnd"/>
      <w:r w:rsidRPr="002B5B60">
        <w:rPr>
          <w:rFonts w:cs="Arial"/>
          <w:i/>
          <w:sz w:val="16"/>
          <w:szCs w:val="16"/>
          <w:lang w:val="cs-CZ" w:eastAsia="cs-CZ"/>
        </w:rPr>
        <w:t xml:space="preserve"> Limited, britská společnost s ručením omezeným garancí, služby klientům neposkytuje. Pro podrobnější informace o naší organizaci navštivte prosím naše webové stránky</w:t>
      </w:r>
      <w:r w:rsidRPr="002B5B60">
        <w:rPr>
          <w:rFonts w:cs="Arial"/>
          <w:b/>
          <w:i/>
          <w:sz w:val="16"/>
          <w:szCs w:val="16"/>
          <w:lang w:val="cs-CZ" w:eastAsia="cs-CZ"/>
        </w:rPr>
        <w:t xml:space="preserve"> </w:t>
      </w:r>
      <w:r w:rsidRPr="002B5B60">
        <w:rPr>
          <w:rFonts w:cs="Arial"/>
          <w:i/>
          <w:sz w:val="16"/>
          <w:szCs w:val="16"/>
          <w:lang w:val="cs-CZ" w:eastAsia="cs-CZ"/>
        </w:rPr>
        <w:t>www. ey.com/CZ.</w:t>
      </w:r>
    </w:p>
    <w:sectPr w:rsidR="00983AF3" w:rsidRPr="002B5B60" w:rsidSect="00665A20">
      <w:headerReference w:type="default" r:id="rId8"/>
      <w:headerReference w:type="first" r:id="rId9"/>
      <w:pgSz w:w="11907" w:h="16840" w:code="9"/>
      <w:pgMar w:top="2722" w:right="1282" w:bottom="936" w:left="1368" w:header="70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79" w:rsidRDefault="00044479">
      <w:r>
        <w:separator/>
      </w:r>
    </w:p>
  </w:endnote>
  <w:endnote w:type="continuationSeparator" w:id="0">
    <w:p w:rsidR="00044479" w:rsidRDefault="0004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Interstate">
    <w:panose1 w:val="02000503020000020004"/>
    <w:charset w:val="EE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EYInterstate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79" w:rsidRDefault="00044479">
      <w:r>
        <w:separator/>
      </w:r>
    </w:p>
  </w:footnote>
  <w:footnote w:type="continuationSeparator" w:id="0">
    <w:p w:rsidR="00044479" w:rsidRDefault="0004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75" w:rsidRDefault="009D0B68" w:rsidP="00FC6AEB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5403850</wp:posOffset>
              </wp:positionH>
              <wp:positionV relativeFrom="page">
                <wp:posOffset>403225</wp:posOffset>
              </wp:positionV>
              <wp:extent cx="1800225" cy="617855"/>
              <wp:effectExtent l="0" t="0" r="9525" b="1079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E75" w:rsidRDefault="00286E75" w:rsidP="002C3F79">
                          <w:pPr>
                            <w:pStyle w:val="EYContinuationheader"/>
                            <w:jc w:val="right"/>
                          </w:pPr>
                          <w:r>
                            <w:t xml:space="preserve">Page </w:t>
                          </w:r>
                          <w:r w:rsidR="009D7E4D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="009D7E4D">
                            <w:fldChar w:fldCharType="separate"/>
                          </w:r>
                          <w:r w:rsidR="00682B7D">
                            <w:rPr>
                              <w:noProof/>
                            </w:rPr>
                            <w:t>2</w:t>
                          </w:r>
                          <w:r w:rsidR="009D7E4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5.5pt;margin-top:31.75pt;width:141.75pt;height: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bTr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" filled="f" stroked="f">
              <v:textbox inset="0,0,0,0">
                <w:txbxContent>
                  <w:p w:rsidR="00286E75" w:rsidRDefault="00286E75" w:rsidP="002C3F79">
                    <w:pPr>
                      <w:pStyle w:val="EYContinuationheader"/>
                      <w:jc w:val="right"/>
                    </w:pPr>
                    <w:r>
                      <w:t xml:space="preserve">Page </w:t>
                    </w:r>
                    <w:r w:rsidR="009D7E4D">
                      <w:fldChar w:fldCharType="begin"/>
                    </w:r>
                    <w:r>
                      <w:instrText xml:space="preserve"> PAGE  \* Arabic  \* MERGEFORMAT </w:instrText>
                    </w:r>
                    <w:r w:rsidR="009D7E4D">
                      <w:fldChar w:fldCharType="separate"/>
                    </w:r>
                    <w:r w:rsidR="00682B7D">
                      <w:rPr>
                        <w:noProof/>
                      </w:rPr>
                      <w:t>2</w:t>
                    </w:r>
                    <w:r w:rsidR="009D7E4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86E75"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845820</wp:posOffset>
          </wp:positionH>
          <wp:positionV relativeFrom="page">
            <wp:posOffset>168910</wp:posOffset>
          </wp:positionV>
          <wp:extent cx="889000" cy="1022350"/>
          <wp:effectExtent l="0" t="0" r="635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75" w:rsidRDefault="00286E75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847725</wp:posOffset>
          </wp:positionH>
          <wp:positionV relativeFrom="page">
            <wp:posOffset>169545</wp:posOffset>
          </wp:positionV>
          <wp:extent cx="887730" cy="1021080"/>
          <wp:effectExtent l="0" t="0" r="7620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796"/>
    <w:multiLevelType w:val="hybridMultilevel"/>
    <w:tmpl w:val="18ACD740"/>
    <w:lvl w:ilvl="0" w:tplc="0902D53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FFFF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0432"/>
    <w:multiLevelType w:val="hybridMultilevel"/>
    <w:tmpl w:val="67B2A610"/>
    <w:lvl w:ilvl="0" w:tplc="A5120EE4">
      <w:start w:val="2"/>
      <w:numFmt w:val="bullet"/>
      <w:lvlText w:val=""/>
      <w:lvlJc w:val="left"/>
      <w:pPr>
        <w:ind w:left="720" w:hanging="360"/>
      </w:pPr>
      <w:rPr>
        <w:rFonts w:ascii="Wingdings 3" w:eastAsia="Times New Roman" w:hAnsi="Wingdings 3" w:hint="default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3692C"/>
    <w:multiLevelType w:val="hybridMultilevel"/>
    <w:tmpl w:val="86B09E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833AA"/>
    <w:multiLevelType w:val="hybridMultilevel"/>
    <w:tmpl w:val="D082AC24"/>
    <w:lvl w:ilvl="0" w:tplc="F872BD40">
      <w:start w:val="1"/>
      <w:numFmt w:val="bullet"/>
      <w:pStyle w:val="EYBulletedtext2"/>
      <w:lvlText w:val="►"/>
      <w:lvlJc w:val="left"/>
      <w:pPr>
        <w:ind w:left="649" w:hanging="360"/>
      </w:pPr>
      <w:rPr>
        <w:rFonts w:ascii="Arial" w:hAnsi="Arial" w:hint="default"/>
        <w:color w:val="FFE6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06A58"/>
    <w:multiLevelType w:val="hybridMultilevel"/>
    <w:tmpl w:val="199CEF1A"/>
    <w:lvl w:ilvl="0" w:tplc="0902D53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FFFF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74555"/>
    <w:multiLevelType w:val="hybridMultilevel"/>
    <w:tmpl w:val="A0BE351C"/>
    <w:lvl w:ilvl="0" w:tplc="4E88125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12913"/>
    <w:multiLevelType w:val="hybridMultilevel"/>
    <w:tmpl w:val="61A68C3E"/>
    <w:lvl w:ilvl="0" w:tplc="AF8877C0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525D1"/>
    <w:multiLevelType w:val="hybridMultilevel"/>
    <w:tmpl w:val="63760BF2"/>
    <w:lvl w:ilvl="0" w:tplc="D858685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23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16"/>
    <w:rsid w:val="00000067"/>
    <w:rsid w:val="0000173C"/>
    <w:rsid w:val="00002184"/>
    <w:rsid w:val="000065EA"/>
    <w:rsid w:val="0000685B"/>
    <w:rsid w:val="00007EFC"/>
    <w:rsid w:val="00010795"/>
    <w:rsid w:val="00012E3A"/>
    <w:rsid w:val="000131DE"/>
    <w:rsid w:val="00013D43"/>
    <w:rsid w:val="00013DD5"/>
    <w:rsid w:val="000144AA"/>
    <w:rsid w:val="00014A56"/>
    <w:rsid w:val="0001548A"/>
    <w:rsid w:val="00016EDE"/>
    <w:rsid w:val="00020CFA"/>
    <w:rsid w:val="00021206"/>
    <w:rsid w:val="00021353"/>
    <w:rsid w:val="00021DAB"/>
    <w:rsid w:val="00022442"/>
    <w:rsid w:val="00023594"/>
    <w:rsid w:val="00023989"/>
    <w:rsid w:val="000241D1"/>
    <w:rsid w:val="000243FD"/>
    <w:rsid w:val="00024987"/>
    <w:rsid w:val="000260F3"/>
    <w:rsid w:val="000274CD"/>
    <w:rsid w:val="00031296"/>
    <w:rsid w:val="00032D56"/>
    <w:rsid w:val="0003311F"/>
    <w:rsid w:val="000334A3"/>
    <w:rsid w:val="00034463"/>
    <w:rsid w:val="000377F2"/>
    <w:rsid w:val="00037DF7"/>
    <w:rsid w:val="00040974"/>
    <w:rsid w:val="00042886"/>
    <w:rsid w:val="000429DE"/>
    <w:rsid w:val="00042B5D"/>
    <w:rsid w:val="00042E61"/>
    <w:rsid w:val="000434DD"/>
    <w:rsid w:val="00044479"/>
    <w:rsid w:val="000502D6"/>
    <w:rsid w:val="00050B52"/>
    <w:rsid w:val="00050E8F"/>
    <w:rsid w:val="000513C4"/>
    <w:rsid w:val="00052463"/>
    <w:rsid w:val="00053536"/>
    <w:rsid w:val="00053788"/>
    <w:rsid w:val="00055ABE"/>
    <w:rsid w:val="00056E74"/>
    <w:rsid w:val="000578A8"/>
    <w:rsid w:val="00060C2A"/>
    <w:rsid w:val="000618F6"/>
    <w:rsid w:val="000619B3"/>
    <w:rsid w:val="00062497"/>
    <w:rsid w:val="0006291A"/>
    <w:rsid w:val="00062AA4"/>
    <w:rsid w:val="00067975"/>
    <w:rsid w:val="00067E16"/>
    <w:rsid w:val="00070132"/>
    <w:rsid w:val="000707D8"/>
    <w:rsid w:val="00071CDA"/>
    <w:rsid w:val="000734FD"/>
    <w:rsid w:val="0007414D"/>
    <w:rsid w:val="00075161"/>
    <w:rsid w:val="00075263"/>
    <w:rsid w:val="00075B3F"/>
    <w:rsid w:val="00077534"/>
    <w:rsid w:val="00081455"/>
    <w:rsid w:val="00082185"/>
    <w:rsid w:val="00082C48"/>
    <w:rsid w:val="00083B94"/>
    <w:rsid w:val="00084140"/>
    <w:rsid w:val="0008505F"/>
    <w:rsid w:val="00085CA2"/>
    <w:rsid w:val="00086FE8"/>
    <w:rsid w:val="00087488"/>
    <w:rsid w:val="000907D9"/>
    <w:rsid w:val="00090F00"/>
    <w:rsid w:val="0009241D"/>
    <w:rsid w:val="0009349A"/>
    <w:rsid w:val="00094659"/>
    <w:rsid w:val="00094D04"/>
    <w:rsid w:val="00095485"/>
    <w:rsid w:val="00095595"/>
    <w:rsid w:val="00096D58"/>
    <w:rsid w:val="00097A84"/>
    <w:rsid w:val="000A1A41"/>
    <w:rsid w:val="000A1BBA"/>
    <w:rsid w:val="000A3550"/>
    <w:rsid w:val="000A54EA"/>
    <w:rsid w:val="000B09D9"/>
    <w:rsid w:val="000B3705"/>
    <w:rsid w:val="000B4D8F"/>
    <w:rsid w:val="000B4E27"/>
    <w:rsid w:val="000B5139"/>
    <w:rsid w:val="000B52B8"/>
    <w:rsid w:val="000B5BD7"/>
    <w:rsid w:val="000B70AF"/>
    <w:rsid w:val="000C097C"/>
    <w:rsid w:val="000C1D27"/>
    <w:rsid w:val="000C1EDB"/>
    <w:rsid w:val="000C2495"/>
    <w:rsid w:val="000C3A75"/>
    <w:rsid w:val="000C5D7F"/>
    <w:rsid w:val="000C6589"/>
    <w:rsid w:val="000C69EA"/>
    <w:rsid w:val="000C7736"/>
    <w:rsid w:val="000C7D1B"/>
    <w:rsid w:val="000D27AE"/>
    <w:rsid w:val="000D2D03"/>
    <w:rsid w:val="000D33DD"/>
    <w:rsid w:val="000D3FB1"/>
    <w:rsid w:val="000D62CD"/>
    <w:rsid w:val="000D6449"/>
    <w:rsid w:val="000D6CC6"/>
    <w:rsid w:val="000D72C6"/>
    <w:rsid w:val="000D7573"/>
    <w:rsid w:val="000E1550"/>
    <w:rsid w:val="000E1ABF"/>
    <w:rsid w:val="000E204C"/>
    <w:rsid w:val="000E46B8"/>
    <w:rsid w:val="000E524E"/>
    <w:rsid w:val="000E6017"/>
    <w:rsid w:val="000E7077"/>
    <w:rsid w:val="000E7CBE"/>
    <w:rsid w:val="000E7E0A"/>
    <w:rsid w:val="000F195D"/>
    <w:rsid w:val="000F56D5"/>
    <w:rsid w:val="000F5D5D"/>
    <w:rsid w:val="000F5DD0"/>
    <w:rsid w:val="000F73C4"/>
    <w:rsid w:val="001001ED"/>
    <w:rsid w:val="00100753"/>
    <w:rsid w:val="001016BF"/>
    <w:rsid w:val="00101A5F"/>
    <w:rsid w:val="001025E1"/>
    <w:rsid w:val="0010332B"/>
    <w:rsid w:val="00104C52"/>
    <w:rsid w:val="001060DE"/>
    <w:rsid w:val="00110D63"/>
    <w:rsid w:val="00110FD2"/>
    <w:rsid w:val="001150BB"/>
    <w:rsid w:val="001157A2"/>
    <w:rsid w:val="001158BC"/>
    <w:rsid w:val="00116CA3"/>
    <w:rsid w:val="0012236B"/>
    <w:rsid w:val="00123667"/>
    <w:rsid w:val="00125B4E"/>
    <w:rsid w:val="00125BEF"/>
    <w:rsid w:val="00127654"/>
    <w:rsid w:val="0013136F"/>
    <w:rsid w:val="001344ED"/>
    <w:rsid w:val="00134E1F"/>
    <w:rsid w:val="0013701E"/>
    <w:rsid w:val="00137E0B"/>
    <w:rsid w:val="00137F85"/>
    <w:rsid w:val="00140880"/>
    <w:rsid w:val="001412D6"/>
    <w:rsid w:val="00142B26"/>
    <w:rsid w:val="0014309E"/>
    <w:rsid w:val="001430AC"/>
    <w:rsid w:val="0014373B"/>
    <w:rsid w:val="00143B65"/>
    <w:rsid w:val="001461A9"/>
    <w:rsid w:val="001465D7"/>
    <w:rsid w:val="00147A16"/>
    <w:rsid w:val="00150066"/>
    <w:rsid w:val="00151130"/>
    <w:rsid w:val="001521C0"/>
    <w:rsid w:val="00153F8E"/>
    <w:rsid w:val="001547E7"/>
    <w:rsid w:val="00154F9A"/>
    <w:rsid w:val="0015716A"/>
    <w:rsid w:val="0016069C"/>
    <w:rsid w:val="00160F8C"/>
    <w:rsid w:val="00164129"/>
    <w:rsid w:val="00166EA6"/>
    <w:rsid w:val="0017485F"/>
    <w:rsid w:val="00174A0E"/>
    <w:rsid w:val="0017536C"/>
    <w:rsid w:val="001772A7"/>
    <w:rsid w:val="001772B8"/>
    <w:rsid w:val="0017789F"/>
    <w:rsid w:val="00183B7B"/>
    <w:rsid w:val="001843AE"/>
    <w:rsid w:val="001847C5"/>
    <w:rsid w:val="001849C2"/>
    <w:rsid w:val="0018711D"/>
    <w:rsid w:val="00187992"/>
    <w:rsid w:val="00193C6F"/>
    <w:rsid w:val="00195C92"/>
    <w:rsid w:val="0019652D"/>
    <w:rsid w:val="001968E3"/>
    <w:rsid w:val="00196E73"/>
    <w:rsid w:val="00196EC9"/>
    <w:rsid w:val="001A0702"/>
    <w:rsid w:val="001A0EBA"/>
    <w:rsid w:val="001A321F"/>
    <w:rsid w:val="001A3599"/>
    <w:rsid w:val="001A3809"/>
    <w:rsid w:val="001A4F4E"/>
    <w:rsid w:val="001A5264"/>
    <w:rsid w:val="001A56BB"/>
    <w:rsid w:val="001B0DB7"/>
    <w:rsid w:val="001B176E"/>
    <w:rsid w:val="001B658B"/>
    <w:rsid w:val="001B6DE6"/>
    <w:rsid w:val="001B7DF7"/>
    <w:rsid w:val="001C017C"/>
    <w:rsid w:val="001C174D"/>
    <w:rsid w:val="001C46AF"/>
    <w:rsid w:val="001C6F7A"/>
    <w:rsid w:val="001C77CD"/>
    <w:rsid w:val="001C7859"/>
    <w:rsid w:val="001C7EAD"/>
    <w:rsid w:val="001D109F"/>
    <w:rsid w:val="001D1D2D"/>
    <w:rsid w:val="001D2E0D"/>
    <w:rsid w:val="001D49F6"/>
    <w:rsid w:val="001D4FFD"/>
    <w:rsid w:val="001D607C"/>
    <w:rsid w:val="001D70FD"/>
    <w:rsid w:val="001E19C7"/>
    <w:rsid w:val="001E20D0"/>
    <w:rsid w:val="001E23E8"/>
    <w:rsid w:val="001E334C"/>
    <w:rsid w:val="001E40DA"/>
    <w:rsid w:val="001F124B"/>
    <w:rsid w:val="001F1C3B"/>
    <w:rsid w:val="001F3553"/>
    <w:rsid w:val="001F5931"/>
    <w:rsid w:val="001F5D21"/>
    <w:rsid w:val="00203152"/>
    <w:rsid w:val="00210A59"/>
    <w:rsid w:val="00213E71"/>
    <w:rsid w:val="00216542"/>
    <w:rsid w:val="00216979"/>
    <w:rsid w:val="0021735E"/>
    <w:rsid w:val="00217F42"/>
    <w:rsid w:val="0022133E"/>
    <w:rsid w:val="002225EB"/>
    <w:rsid w:val="00223391"/>
    <w:rsid w:val="00224214"/>
    <w:rsid w:val="00224679"/>
    <w:rsid w:val="00224A43"/>
    <w:rsid w:val="00226F20"/>
    <w:rsid w:val="00226FC1"/>
    <w:rsid w:val="00227AEC"/>
    <w:rsid w:val="00227E27"/>
    <w:rsid w:val="00231206"/>
    <w:rsid w:val="002346BA"/>
    <w:rsid w:val="00234863"/>
    <w:rsid w:val="00236E10"/>
    <w:rsid w:val="0024096C"/>
    <w:rsid w:val="0024135E"/>
    <w:rsid w:val="002420FE"/>
    <w:rsid w:val="00243F74"/>
    <w:rsid w:val="0024448B"/>
    <w:rsid w:val="00251FED"/>
    <w:rsid w:val="00254A4F"/>
    <w:rsid w:val="00254AE6"/>
    <w:rsid w:val="00255643"/>
    <w:rsid w:val="00255F22"/>
    <w:rsid w:val="002561F4"/>
    <w:rsid w:val="00260238"/>
    <w:rsid w:val="00260B0D"/>
    <w:rsid w:val="0026111E"/>
    <w:rsid w:val="0026305C"/>
    <w:rsid w:val="002636B4"/>
    <w:rsid w:val="00264779"/>
    <w:rsid w:val="002656B4"/>
    <w:rsid w:val="00267827"/>
    <w:rsid w:val="00270CCE"/>
    <w:rsid w:val="002711F3"/>
    <w:rsid w:val="00271AA5"/>
    <w:rsid w:val="002728F1"/>
    <w:rsid w:val="0027307E"/>
    <w:rsid w:val="00277F93"/>
    <w:rsid w:val="002837FE"/>
    <w:rsid w:val="00283A60"/>
    <w:rsid w:val="00284E5C"/>
    <w:rsid w:val="00285589"/>
    <w:rsid w:val="0028692E"/>
    <w:rsid w:val="002869F3"/>
    <w:rsid w:val="00286E75"/>
    <w:rsid w:val="00287AF1"/>
    <w:rsid w:val="002929B8"/>
    <w:rsid w:val="00294327"/>
    <w:rsid w:val="00295B22"/>
    <w:rsid w:val="00295E8F"/>
    <w:rsid w:val="00297A85"/>
    <w:rsid w:val="00297CE6"/>
    <w:rsid w:val="00297CF1"/>
    <w:rsid w:val="002A0504"/>
    <w:rsid w:val="002A1FED"/>
    <w:rsid w:val="002A3063"/>
    <w:rsid w:val="002A46D7"/>
    <w:rsid w:val="002A4B17"/>
    <w:rsid w:val="002A4EB6"/>
    <w:rsid w:val="002A51A4"/>
    <w:rsid w:val="002A7114"/>
    <w:rsid w:val="002B071C"/>
    <w:rsid w:val="002B0FDE"/>
    <w:rsid w:val="002B2937"/>
    <w:rsid w:val="002B5B60"/>
    <w:rsid w:val="002B65A9"/>
    <w:rsid w:val="002B7587"/>
    <w:rsid w:val="002B759C"/>
    <w:rsid w:val="002B7765"/>
    <w:rsid w:val="002C13FF"/>
    <w:rsid w:val="002C1FE5"/>
    <w:rsid w:val="002C3334"/>
    <w:rsid w:val="002C3F79"/>
    <w:rsid w:val="002C6E05"/>
    <w:rsid w:val="002C72B1"/>
    <w:rsid w:val="002D0C6D"/>
    <w:rsid w:val="002D295E"/>
    <w:rsid w:val="002D32CE"/>
    <w:rsid w:val="002D4213"/>
    <w:rsid w:val="002D43FE"/>
    <w:rsid w:val="002D7E42"/>
    <w:rsid w:val="002E044B"/>
    <w:rsid w:val="002E16CB"/>
    <w:rsid w:val="002E180A"/>
    <w:rsid w:val="002E2809"/>
    <w:rsid w:val="002E425F"/>
    <w:rsid w:val="002F28AB"/>
    <w:rsid w:val="002F3D15"/>
    <w:rsid w:val="002F547D"/>
    <w:rsid w:val="002F6BB6"/>
    <w:rsid w:val="00300EFA"/>
    <w:rsid w:val="003018FD"/>
    <w:rsid w:val="003031AB"/>
    <w:rsid w:val="00303F47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2881"/>
    <w:rsid w:val="00314342"/>
    <w:rsid w:val="00316CA4"/>
    <w:rsid w:val="003179BD"/>
    <w:rsid w:val="003212B3"/>
    <w:rsid w:val="00324775"/>
    <w:rsid w:val="003248AC"/>
    <w:rsid w:val="003255C2"/>
    <w:rsid w:val="0032615A"/>
    <w:rsid w:val="003273B8"/>
    <w:rsid w:val="003273D0"/>
    <w:rsid w:val="00327AF3"/>
    <w:rsid w:val="003307EB"/>
    <w:rsid w:val="00330A04"/>
    <w:rsid w:val="00331054"/>
    <w:rsid w:val="00333425"/>
    <w:rsid w:val="003335FE"/>
    <w:rsid w:val="003338C0"/>
    <w:rsid w:val="00335C05"/>
    <w:rsid w:val="00336480"/>
    <w:rsid w:val="003366F4"/>
    <w:rsid w:val="0034108E"/>
    <w:rsid w:val="00341EAB"/>
    <w:rsid w:val="0034417E"/>
    <w:rsid w:val="00345A8F"/>
    <w:rsid w:val="003467B0"/>
    <w:rsid w:val="003473D3"/>
    <w:rsid w:val="003474F8"/>
    <w:rsid w:val="00353559"/>
    <w:rsid w:val="003545AB"/>
    <w:rsid w:val="00355278"/>
    <w:rsid w:val="00356658"/>
    <w:rsid w:val="0036047F"/>
    <w:rsid w:val="00360C58"/>
    <w:rsid w:val="0036192C"/>
    <w:rsid w:val="00365964"/>
    <w:rsid w:val="00366CD7"/>
    <w:rsid w:val="00370E91"/>
    <w:rsid w:val="00371788"/>
    <w:rsid w:val="0037341F"/>
    <w:rsid w:val="00373D0B"/>
    <w:rsid w:val="00376C84"/>
    <w:rsid w:val="00377376"/>
    <w:rsid w:val="003823AD"/>
    <w:rsid w:val="00383438"/>
    <w:rsid w:val="003834BB"/>
    <w:rsid w:val="00383879"/>
    <w:rsid w:val="00385C93"/>
    <w:rsid w:val="00387D13"/>
    <w:rsid w:val="0039058A"/>
    <w:rsid w:val="00394AA8"/>
    <w:rsid w:val="003965DA"/>
    <w:rsid w:val="00396CB5"/>
    <w:rsid w:val="00397D84"/>
    <w:rsid w:val="003A0CED"/>
    <w:rsid w:val="003A23DD"/>
    <w:rsid w:val="003A345C"/>
    <w:rsid w:val="003A45EE"/>
    <w:rsid w:val="003A5E12"/>
    <w:rsid w:val="003A7FB1"/>
    <w:rsid w:val="003B0EDB"/>
    <w:rsid w:val="003B137D"/>
    <w:rsid w:val="003B18D6"/>
    <w:rsid w:val="003B5AE2"/>
    <w:rsid w:val="003B5B34"/>
    <w:rsid w:val="003B60F2"/>
    <w:rsid w:val="003B6507"/>
    <w:rsid w:val="003C016A"/>
    <w:rsid w:val="003C1B2D"/>
    <w:rsid w:val="003C2B3F"/>
    <w:rsid w:val="003C3966"/>
    <w:rsid w:val="003C43B1"/>
    <w:rsid w:val="003C4868"/>
    <w:rsid w:val="003C4BCA"/>
    <w:rsid w:val="003C6447"/>
    <w:rsid w:val="003C6D53"/>
    <w:rsid w:val="003D0167"/>
    <w:rsid w:val="003D0273"/>
    <w:rsid w:val="003D2C82"/>
    <w:rsid w:val="003D316B"/>
    <w:rsid w:val="003D55AB"/>
    <w:rsid w:val="003D56CE"/>
    <w:rsid w:val="003D5C71"/>
    <w:rsid w:val="003D7352"/>
    <w:rsid w:val="003D75B1"/>
    <w:rsid w:val="003D7A4F"/>
    <w:rsid w:val="003E00C2"/>
    <w:rsid w:val="003E028A"/>
    <w:rsid w:val="003E1FDE"/>
    <w:rsid w:val="003E2B6E"/>
    <w:rsid w:val="003F4B43"/>
    <w:rsid w:val="00400D5D"/>
    <w:rsid w:val="00400DD1"/>
    <w:rsid w:val="00400FB2"/>
    <w:rsid w:val="0040129A"/>
    <w:rsid w:val="004053AF"/>
    <w:rsid w:val="00410517"/>
    <w:rsid w:val="00410A29"/>
    <w:rsid w:val="00411035"/>
    <w:rsid w:val="00411464"/>
    <w:rsid w:val="0041320F"/>
    <w:rsid w:val="0041345A"/>
    <w:rsid w:val="00413EFF"/>
    <w:rsid w:val="00414780"/>
    <w:rsid w:val="00414CD0"/>
    <w:rsid w:val="00415704"/>
    <w:rsid w:val="0041578A"/>
    <w:rsid w:val="00416BA5"/>
    <w:rsid w:val="00417B9E"/>
    <w:rsid w:val="00417F17"/>
    <w:rsid w:val="00417FDB"/>
    <w:rsid w:val="00420AFE"/>
    <w:rsid w:val="00422FFA"/>
    <w:rsid w:val="00423077"/>
    <w:rsid w:val="00425A9C"/>
    <w:rsid w:val="00427759"/>
    <w:rsid w:val="004306D8"/>
    <w:rsid w:val="004330A1"/>
    <w:rsid w:val="004334A8"/>
    <w:rsid w:val="004345D9"/>
    <w:rsid w:val="004358D2"/>
    <w:rsid w:val="00435B81"/>
    <w:rsid w:val="0043616F"/>
    <w:rsid w:val="00437654"/>
    <w:rsid w:val="004403B9"/>
    <w:rsid w:val="00440871"/>
    <w:rsid w:val="00440E52"/>
    <w:rsid w:val="004419C6"/>
    <w:rsid w:val="0044322B"/>
    <w:rsid w:val="00445379"/>
    <w:rsid w:val="00445AE9"/>
    <w:rsid w:val="004460DD"/>
    <w:rsid w:val="00447E14"/>
    <w:rsid w:val="00451790"/>
    <w:rsid w:val="00452586"/>
    <w:rsid w:val="00453AB2"/>
    <w:rsid w:val="00453D28"/>
    <w:rsid w:val="00454F2E"/>
    <w:rsid w:val="00460306"/>
    <w:rsid w:val="00460F70"/>
    <w:rsid w:val="00463507"/>
    <w:rsid w:val="00463CA6"/>
    <w:rsid w:val="00463CBD"/>
    <w:rsid w:val="00464653"/>
    <w:rsid w:val="00466985"/>
    <w:rsid w:val="00466B61"/>
    <w:rsid w:val="00466FDF"/>
    <w:rsid w:val="004723DF"/>
    <w:rsid w:val="00472DA8"/>
    <w:rsid w:val="00472F4C"/>
    <w:rsid w:val="0047363A"/>
    <w:rsid w:val="0047396A"/>
    <w:rsid w:val="00480DC3"/>
    <w:rsid w:val="00480E3D"/>
    <w:rsid w:val="00480E49"/>
    <w:rsid w:val="00483A09"/>
    <w:rsid w:val="0048474A"/>
    <w:rsid w:val="00484EF2"/>
    <w:rsid w:val="004853CC"/>
    <w:rsid w:val="00485617"/>
    <w:rsid w:val="00486635"/>
    <w:rsid w:val="00486A48"/>
    <w:rsid w:val="00486CB0"/>
    <w:rsid w:val="004916C9"/>
    <w:rsid w:val="0049276C"/>
    <w:rsid w:val="0049348C"/>
    <w:rsid w:val="00495EFA"/>
    <w:rsid w:val="00497374"/>
    <w:rsid w:val="00497A8B"/>
    <w:rsid w:val="004A0628"/>
    <w:rsid w:val="004A1B8F"/>
    <w:rsid w:val="004A25D1"/>
    <w:rsid w:val="004A2660"/>
    <w:rsid w:val="004A3E70"/>
    <w:rsid w:val="004A7977"/>
    <w:rsid w:val="004A7A69"/>
    <w:rsid w:val="004B003F"/>
    <w:rsid w:val="004B1016"/>
    <w:rsid w:val="004B23DB"/>
    <w:rsid w:val="004B4A89"/>
    <w:rsid w:val="004B566F"/>
    <w:rsid w:val="004B5D6E"/>
    <w:rsid w:val="004B5F0D"/>
    <w:rsid w:val="004C0132"/>
    <w:rsid w:val="004C02B6"/>
    <w:rsid w:val="004C21CC"/>
    <w:rsid w:val="004C2DBC"/>
    <w:rsid w:val="004C4E5A"/>
    <w:rsid w:val="004C60E2"/>
    <w:rsid w:val="004C6CC3"/>
    <w:rsid w:val="004D042C"/>
    <w:rsid w:val="004D2356"/>
    <w:rsid w:val="004D285C"/>
    <w:rsid w:val="004D29D1"/>
    <w:rsid w:val="004D2EEB"/>
    <w:rsid w:val="004D2FC4"/>
    <w:rsid w:val="004D65D3"/>
    <w:rsid w:val="004D6979"/>
    <w:rsid w:val="004E2620"/>
    <w:rsid w:val="004E6E71"/>
    <w:rsid w:val="004E6FC6"/>
    <w:rsid w:val="004F3859"/>
    <w:rsid w:val="004F40C4"/>
    <w:rsid w:val="004F410E"/>
    <w:rsid w:val="004F48D3"/>
    <w:rsid w:val="00501500"/>
    <w:rsid w:val="005018C4"/>
    <w:rsid w:val="00505E3C"/>
    <w:rsid w:val="00510CE6"/>
    <w:rsid w:val="005122D5"/>
    <w:rsid w:val="00512B1C"/>
    <w:rsid w:val="00513218"/>
    <w:rsid w:val="005168EE"/>
    <w:rsid w:val="00516ABE"/>
    <w:rsid w:val="00517A47"/>
    <w:rsid w:val="00523C69"/>
    <w:rsid w:val="00525890"/>
    <w:rsid w:val="00530DD0"/>
    <w:rsid w:val="00532320"/>
    <w:rsid w:val="005330D2"/>
    <w:rsid w:val="0053482D"/>
    <w:rsid w:val="00535D25"/>
    <w:rsid w:val="0053739C"/>
    <w:rsid w:val="00540B3D"/>
    <w:rsid w:val="00541DB7"/>
    <w:rsid w:val="00543F58"/>
    <w:rsid w:val="00545B66"/>
    <w:rsid w:val="0054748D"/>
    <w:rsid w:val="00547A2D"/>
    <w:rsid w:val="00547E6F"/>
    <w:rsid w:val="0055021B"/>
    <w:rsid w:val="00550AC9"/>
    <w:rsid w:val="00551813"/>
    <w:rsid w:val="00552E94"/>
    <w:rsid w:val="0055348B"/>
    <w:rsid w:val="00554F4E"/>
    <w:rsid w:val="0055546A"/>
    <w:rsid w:val="0055711B"/>
    <w:rsid w:val="00557783"/>
    <w:rsid w:val="00561792"/>
    <w:rsid w:val="00564D92"/>
    <w:rsid w:val="00567662"/>
    <w:rsid w:val="00571B01"/>
    <w:rsid w:val="005725B1"/>
    <w:rsid w:val="0057281F"/>
    <w:rsid w:val="00572EE2"/>
    <w:rsid w:val="00573244"/>
    <w:rsid w:val="00574F92"/>
    <w:rsid w:val="00575A24"/>
    <w:rsid w:val="00575AE2"/>
    <w:rsid w:val="00577DAA"/>
    <w:rsid w:val="00580DC1"/>
    <w:rsid w:val="005817A7"/>
    <w:rsid w:val="0058258F"/>
    <w:rsid w:val="00583536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46A"/>
    <w:rsid w:val="0059560C"/>
    <w:rsid w:val="005A328F"/>
    <w:rsid w:val="005A403D"/>
    <w:rsid w:val="005A459E"/>
    <w:rsid w:val="005A54D6"/>
    <w:rsid w:val="005B0E2C"/>
    <w:rsid w:val="005B2E5C"/>
    <w:rsid w:val="005B3465"/>
    <w:rsid w:val="005B512B"/>
    <w:rsid w:val="005B637D"/>
    <w:rsid w:val="005B7747"/>
    <w:rsid w:val="005C1EEB"/>
    <w:rsid w:val="005C40D7"/>
    <w:rsid w:val="005C5D23"/>
    <w:rsid w:val="005C6136"/>
    <w:rsid w:val="005C62FD"/>
    <w:rsid w:val="005C6386"/>
    <w:rsid w:val="005C66AC"/>
    <w:rsid w:val="005C6C0E"/>
    <w:rsid w:val="005C6C14"/>
    <w:rsid w:val="005D0037"/>
    <w:rsid w:val="005D0DBD"/>
    <w:rsid w:val="005D0F78"/>
    <w:rsid w:val="005D1BBD"/>
    <w:rsid w:val="005D3C2E"/>
    <w:rsid w:val="005D4040"/>
    <w:rsid w:val="005D5063"/>
    <w:rsid w:val="005D74E5"/>
    <w:rsid w:val="005D7B44"/>
    <w:rsid w:val="005E05B8"/>
    <w:rsid w:val="005E06A3"/>
    <w:rsid w:val="005E2302"/>
    <w:rsid w:val="005E3E35"/>
    <w:rsid w:val="005E6881"/>
    <w:rsid w:val="005E6FEE"/>
    <w:rsid w:val="005E7A81"/>
    <w:rsid w:val="005F230B"/>
    <w:rsid w:val="005F24E9"/>
    <w:rsid w:val="005F2A8B"/>
    <w:rsid w:val="005F5DD4"/>
    <w:rsid w:val="005F75E6"/>
    <w:rsid w:val="005F7915"/>
    <w:rsid w:val="005F7E1F"/>
    <w:rsid w:val="00600D1A"/>
    <w:rsid w:val="006032EC"/>
    <w:rsid w:val="00604319"/>
    <w:rsid w:val="006077D5"/>
    <w:rsid w:val="00610696"/>
    <w:rsid w:val="00612906"/>
    <w:rsid w:val="00613E0E"/>
    <w:rsid w:val="0061429B"/>
    <w:rsid w:val="00617D66"/>
    <w:rsid w:val="006200E4"/>
    <w:rsid w:val="00621C9D"/>
    <w:rsid w:val="0062385A"/>
    <w:rsid w:val="00623B0D"/>
    <w:rsid w:val="00624973"/>
    <w:rsid w:val="00625080"/>
    <w:rsid w:val="00626963"/>
    <w:rsid w:val="00630B49"/>
    <w:rsid w:val="006322B5"/>
    <w:rsid w:val="00632A06"/>
    <w:rsid w:val="006333DC"/>
    <w:rsid w:val="00634174"/>
    <w:rsid w:val="006347DD"/>
    <w:rsid w:val="006353AB"/>
    <w:rsid w:val="006354AA"/>
    <w:rsid w:val="00636F62"/>
    <w:rsid w:val="0063723E"/>
    <w:rsid w:val="00640C4A"/>
    <w:rsid w:val="00640C5C"/>
    <w:rsid w:val="00641390"/>
    <w:rsid w:val="00642D49"/>
    <w:rsid w:val="00644A2D"/>
    <w:rsid w:val="00645C65"/>
    <w:rsid w:val="00652B7B"/>
    <w:rsid w:val="006530F0"/>
    <w:rsid w:val="00653EDE"/>
    <w:rsid w:val="00654530"/>
    <w:rsid w:val="00654D2F"/>
    <w:rsid w:val="00660B99"/>
    <w:rsid w:val="00663C57"/>
    <w:rsid w:val="00664E4E"/>
    <w:rsid w:val="00665A20"/>
    <w:rsid w:val="006667A9"/>
    <w:rsid w:val="006678D0"/>
    <w:rsid w:val="00670B5E"/>
    <w:rsid w:val="006723A0"/>
    <w:rsid w:val="0067399A"/>
    <w:rsid w:val="00674B4D"/>
    <w:rsid w:val="00675376"/>
    <w:rsid w:val="00676545"/>
    <w:rsid w:val="00680C0D"/>
    <w:rsid w:val="00680CCE"/>
    <w:rsid w:val="0068140F"/>
    <w:rsid w:val="00681445"/>
    <w:rsid w:val="00681514"/>
    <w:rsid w:val="0068211D"/>
    <w:rsid w:val="0068296A"/>
    <w:rsid w:val="00682B7D"/>
    <w:rsid w:val="00685669"/>
    <w:rsid w:val="00685E46"/>
    <w:rsid w:val="0068611B"/>
    <w:rsid w:val="00687B5E"/>
    <w:rsid w:val="00690995"/>
    <w:rsid w:val="00690D38"/>
    <w:rsid w:val="00692333"/>
    <w:rsid w:val="00692913"/>
    <w:rsid w:val="006929EC"/>
    <w:rsid w:val="006B062D"/>
    <w:rsid w:val="006B20F8"/>
    <w:rsid w:val="006B2E25"/>
    <w:rsid w:val="006B3045"/>
    <w:rsid w:val="006B3930"/>
    <w:rsid w:val="006B7939"/>
    <w:rsid w:val="006C11A6"/>
    <w:rsid w:val="006C536C"/>
    <w:rsid w:val="006C5F7A"/>
    <w:rsid w:val="006C6AC4"/>
    <w:rsid w:val="006C79A1"/>
    <w:rsid w:val="006D108D"/>
    <w:rsid w:val="006D2012"/>
    <w:rsid w:val="006D238B"/>
    <w:rsid w:val="006D3561"/>
    <w:rsid w:val="006D3971"/>
    <w:rsid w:val="006D429B"/>
    <w:rsid w:val="006D441D"/>
    <w:rsid w:val="006D4AB1"/>
    <w:rsid w:val="006D643C"/>
    <w:rsid w:val="006E1F60"/>
    <w:rsid w:val="006E2B00"/>
    <w:rsid w:val="006E3079"/>
    <w:rsid w:val="006E5DDD"/>
    <w:rsid w:val="006E64B8"/>
    <w:rsid w:val="006F0298"/>
    <w:rsid w:val="006F14B1"/>
    <w:rsid w:val="006F22FE"/>
    <w:rsid w:val="006F237E"/>
    <w:rsid w:val="006F46EA"/>
    <w:rsid w:val="006F5160"/>
    <w:rsid w:val="006F5225"/>
    <w:rsid w:val="006F5E62"/>
    <w:rsid w:val="006F6680"/>
    <w:rsid w:val="006F6C30"/>
    <w:rsid w:val="006F7DE7"/>
    <w:rsid w:val="007014D9"/>
    <w:rsid w:val="00701BB1"/>
    <w:rsid w:val="00702A2E"/>
    <w:rsid w:val="0070337C"/>
    <w:rsid w:val="00704D1E"/>
    <w:rsid w:val="00705CB3"/>
    <w:rsid w:val="00706A6B"/>
    <w:rsid w:val="00707600"/>
    <w:rsid w:val="00707A5C"/>
    <w:rsid w:val="00710C81"/>
    <w:rsid w:val="00710C9D"/>
    <w:rsid w:val="00713293"/>
    <w:rsid w:val="0071362D"/>
    <w:rsid w:val="00713BC8"/>
    <w:rsid w:val="007153B5"/>
    <w:rsid w:val="007172EF"/>
    <w:rsid w:val="00721140"/>
    <w:rsid w:val="00721C53"/>
    <w:rsid w:val="00721F94"/>
    <w:rsid w:val="007243BF"/>
    <w:rsid w:val="00724C8C"/>
    <w:rsid w:val="00726E0C"/>
    <w:rsid w:val="0072764C"/>
    <w:rsid w:val="00727D99"/>
    <w:rsid w:val="007303D2"/>
    <w:rsid w:val="007304ED"/>
    <w:rsid w:val="00730B41"/>
    <w:rsid w:val="0073139D"/>
    <w:rsid w:val="00733DB1"/>
    <w:rsid w:val="00736C63"/>
    <w:rsid w:val="00736EB5"/>
    <w:rsid w:val="007413D2"/>
    <w:rsid w:val="00741762"/>
    <w:rsid w:val="0074334F"/>
    <w:rsid w:val="00745013"/>
    <w:rsid w:val="00745437"/>
    <w:rsid w:val="00745F85"/>
    <w:rsid w:val="00746181"/>
    <w:rsid w:val="00746CA1"/>
    <w:rsid w:val="00746F50"/>
    <w:rsid w:val="00751AE2"/>
    <w:rsid w:val="00753725"/>
    <w:rsid w:val="0075485F"/>
    <w:rsid w:val="00754A6E"/>
    <w:rsid w:val="0075521D"/>
    <w:rsid w:val="00756B38"/>
    <w:rsid w:val="00756BAD"/>
    <w:rsid w:val="00760910"/>
    <w:rsid w:val="00761CB0"/>
    <w:rsid w:val="00761CBB"/>
    <w:rsid w:val="00762C46"/>
    <w:rsid w:val="00763C94"/>
    <w:rsid w:val="00763F93"/>
    <w:rsid w:val="00764D5C"/>
    <w:rsid w:val="00765AAF"/>
    <w:rsid w:val="0077042F"/>
    <w:rsid w:val="00770EC7"/>
    <w:rsid w:val="0077483D"/>
    <w:rsid w:val="007753F0"/>
    <w:rsid w:val="00775713"/>
    <w:rsid w:val="00777196"/>
    <w:rsid w:val="00781221"/>
    <w:rsid w:val="007814C1"/>
    <w:rsid w:val="00782F8B"/>
    <w:rsid w:val="00786236"/>
    <w:rsid w:val="0078691F"/>
    <w:rsid w:val="00790380"/>
    <w:rsid w:val="00790B7E"/>
    <w:rsid w:val="00792348"/>
    <w:rsid w:val="00792C99"/>
    <w:rsid w:val="0079366E"/>
    <w:rsid w:val="00797DDE"/>
    <w:rsid w:val="007A1714"/>
    <w:rsid w:val="007A31A0"/>
    <w:rsid w:val="007A399F"/>
    <w:rsid w:val="007A64E5"/>
    <w:rsid w:val="007A6CC4"/>
    <w:rsid w:val="007A6EA9"/>
    <w:rsid w:val="007A745F"/>
    <w:rsid w:val="007B0F88"/>
    <w:rsid w:val="007B2A8E"/>
    <w:rsid w:val="007B5358"/>
    <w:rsid w:val="007B5A5F"/>
    <w:rsid w:val="007B76C0"/>
    <w:rsid w:val="007B7C3C"/>
    <w:rsid w:val="007C09CC"/>
    <w:rsid w:val="007C1C12"/>
    <w:rsid w:val="007C3727"/>
    <w:rsid w:val="007C3CAB"/>
    <w:rsid w:val="007C496E"/>
    <w:rsid w:val="007C5AA4"/>
    <w:rsid w:val="007D09F1"/>
    <w:rsid w:val="007D408F"/>
    <w:rsid w:val="007D4A05"/>
    <w:rsid w:val="007D55B3"/>
    <w:rsid w:val="007D7DC1"/>
    <w:rsid w:val="007E2EF1"/>
    <w:rsid w:val="007E3275"/>
    <w:rsid w:val="007E6EEC"/>
    <w:rsid w:val="007F1815"/>
    <w:rsid w:val="007F1AB2"/>
    <w:rsid w:val="007F214D"/>
    <w:rsid w:val="007F32DF"/>
    <w:rsid w:val="007F3646"/>
    <w:rsid w:val="007F449E"/>
    <w:rsid w:val="00800391"/>
    <w:rsid w:val="00801AE5"/>
    <w:rsid w:val="00805D33"/>
    <w:rsid w:val="008061A7"/>
    <w:rsid w:val="00806F7E"/>
    <w:rsid w:val="008117C2"/>
    <w:rsid w:val="00812249"/>
    <w:rsid w:val="008126D1"/>
    <w:rsid w:val="008176CD"/>
    <w:rsid w:val="0081793B"/>
    <w:rsid w:val="008212DA"/>
    <w:rsid w:val="00821615"/>
    <w:rsid w:val="00821F67"/>
    <w:rsid w:val="008221FB"/>
    <w:rsid w:val="008258CA"/>
    <w:rsid w:val="00825D0D"/>
    <w:rsid w:val="00826BE7"/>
    <w:rsid w:val="008272E5"/>
    <w:rsid w:val="008301BD"/>
    <w:rsid w:val="008325E9"/>
    <w:rsid w:val="008342F7"/>
    <w:rsid w:val="00841AD2"/>
    <w:rsid w:val="00841B52"/>
    <w:rsid w:val="00842CB7"/>
    <w:rsid w:val="0084335D"/>
    <w:rsid w:val="00843592"/>
    <w:rsid w:val="00843AED"/>
    <w:rsid w:val="008452F3"/>
    <w:rsid w:val="00845693"/>
    <w:rsid w:val="00845A65"/>
    <w:rsid w:val="00845F52"/>
    <w:rsid w:val="008460FF"/>
    <w:rsid w:val="00846806"/>
    <w:rsid w:val="00850981"/>
    <w:rsid w:val="00852E6A"/>
    <w:rsid w:val="00852F6F"/>
    <w:rsid w:val="00854777"/>
    <w:rsid w:val="00854BC4"/>
    <w:rsid w:val="00854CF2"/>
    <w:rsid w:val="008554D2"/>
    <w:rsid w:val="00855FCE"/>
    <w:rsid w:val="008576C1"/>
    <w:rsid w:val="00857E86"/>
    <w:rsid w:val="0086146C"/>
    <w:rsid w:val="00861CDB"/>
    <w:rsid w:val="008718CB"/>
    <w:rsid w:val="00872FEA"/>
    <w:rsid w:val="008735AC"/>
    <w:rsid w:val="00873772"/>
    <w:rsid w:val="008738AF"/>
    <w:rsid w:val="00874185"/>
    <w:rsid w:val="00874199"/>
    <w:rsid w:val="008747F4"/>
    <w:rsid w:val="00874AF4"/>
    <w:rsid w:val="00874C96"/>
    <w:rsid w:val="00880633"/>
    <w:rsid w:val="00882C00"/>
    <w:rsid w:val="00882C77"/>
    <w:rsid w:val="00883001"/>
    <w:rsid w:val="0088381A"/>
    <w:rsid w:val="008839CA"/>
    <w:rsid w:val="00885594"/>
    <w:rsid w:val="00885B6C"/>
    <w:rsid w:val="0088708F"/>
    <w:rsid w:val="008931B5"/>
    <w:rsid w:val="00895167"/>
    <w:rsid w:val="008964BB"/>
    <w:rsid w:val="00896C78"/>
    <w:rsid w:val="008A1ACA"/>
    <w:rsid w:val="008A4A45"/>
    <w:rsid w:val="008A4F4A"/>
    <w:rsid w:val="008A5728"/>
    <w:rsid w:val="008A6E57"/>
    <w:rsid w:val="008B0F7C"/>
    <w:rsid w:val="008B2C26"/>
    <w:rsid w:val="008B3DDD"/>
    <w:rsid w:val="008B55F4"/>
    <w:rsid w:val="008B6E0D"/>
    <w:rsid w:val="008B7C84"/>
    <w:rsid w:val="008B7FB3"/>
    <w:rsid w:val="008C0B0A"/>
    <w:rsid w:val="008C55C4"/>
    <w:rsid w:val="008C5A8E"/>
    <w:rsid w:val="008C5FCB"/>
    <w:rsid w:val="008C62F8"/>
    <w:rsid w:val="008C7D81"/>
    <w:rsid w:val="008D0581"/>
    <w:rsid w:val="008D0EC0"/>
    <w:rsid w:val="008D1497"/>
    <w:rsid w:val="008D299D"/>
    <w:rsid w:val="008D2A93"/>
    <w:rsid w:val="008D390B"/>
    <w:rsid w:val="008D3FBB"/>
    <w:rsid w:val="008D41B3"/>
    <w:rsid w:val="008D61DC"/>
    <w:rsid w:val="008D66C0"/>
    <w:rsid w:val="008D6B67"/>
    <w:rsid w:val="008D71C9"/>
    <w:rsid w:val="008E19AA"/>
    <w:rsid w:val="008E21DA"/>
    <w:rsid w:val="008E2845"/>
    <w:rsid w:val="008E2E66"/>
    <w:rsid w:val="008E4451"/>
    <w:rsid w:val="008E5B17"/>
    <w:rsid w:val="008E6692"/>
    <w:rsid w:val="008F1248"/>
    <w:rsid w:val="008F16B2"/>
    <w:rsid w:val="008F5B01"/>
    <w:rsid w:val="008F60EF"/>
    <w:rsid w:val="008F6813"/>
    <w:rsid w:val="008F6B43"/>
    <w:rsid w:val="008F7F9C"/>
    <w:rsid w:val="0090051F"/>
    <w:rsid w:val="00901AC1"/>
    <w:rsid w:val="00903A7D"/>
    <w:rsid w:val="00911454"/>
    <w:rsid w:val="00911D7E"/>
    <w:rsid w:val="0091272D"/>
    <w:rsid w:val="009148D0"/>
    <w:rsid w:val="00914D5E"/>
    <w:rsid w:val="00914F6A"/>
    <w:rsid w:val="009178A0"/>
    <w:rsid w:val="00917EA0"/>
    <w:rsid w:val="00920B04"/>
    <w:rsid w:val="00922799"/>
    <w:rsid w:val="00922E41"/>
    <w:rsid w:val="00924AB8"/>
    <w:rsid w:val="009267CD"/>
    <w:rsid w:val="0092706D"/>
    <w:rsid w:val="009271A1"/>
    <w:rsid w:val="009302F0"/>
    <w:rsid w:val="009309A7"/>
    <w:rsid w:val="00933DF0"/>
    <w:rsid w:val="00935BA1"/>
    <w:rsid w:val="009375EB"/>
    <w:rsid w:val="00943137"/>
    <w:rsid w:val="00943C6F"/>
    <w:rsid w:val="00944E7A"/>
    <w:rsid w:val="009455F8"/>
    <w:rsid w:val="00945B40"/>
    <w:rsid w:val="00946B58"/>
    <w:rsid w:val="00946FE4"/>
    <w:rsid w:val="009534DB"/>
    <w:rsid w:val="00954D09"/>
    <w:rsid w:val="009566E1"/>
    <w:rsid w:val="00957A1E"/>
    <w:rsid w:val="00957F09"/>
    <w:rsid w:val="0096054D"/>
    <w:rsid w:val="00961BC1"/>
    <w:rsid w:val="00961CCA"/>
    <w:rsid w:val="0096242F"/>
    <w:rsid w:val="00962730"/>
    <w:rsid w:val="00962E23"/>
    <w:rsid w:val="00965DD2"/>
    <w:rsid w:val="009666AB"/>
    <w:rsid w:val="009668F3"/>
    <w:rsid w:val="00967F90"/>
    <w:rsid w:val="00970A0A"/>
    <w:rsid w:val="00971C0B"/>
    <w:rsid w:val="0097244C"/>
    <w:rsid w:val="00972AED"/>
    <w:rsid w:val="00973EB9"/>
    <w:rsid w:val="00977792"/>
    <w:rsid w:val="00981A02"/>
    <w:rsid w:val="00982516"/>
    <w:rsid w:val="009826B5"/>
    <w:rsid w:val="00983AF3"/>
    <w:rsid w:val="00984F4B"/>
    <w:rsid w:val="0098557B"/>
    <w:rsid w:val="00985790"/>
    <w:rsid w:val="00985CCE"/>
    <w:rsid w:val="00986998"/>
    <w:rsid w:val="00987286"/>
    <w:rsid w:val="00987A7D"/>
    <w:rsid w:val="0099183C"/>
    <w:rsid w:val="0099339A"/>
    <w:rsid w:val="009941F4"/>
    <w:rsid w:val="0099623B"/>
    <w:rsid w:val="009A117B"/>
    <w:rsid w:val="009A253D"/>
    <w:rsid w:val="009A2664"/>
    <w:rsid w:val="009A339C"/>
    <w:rsid w:val="009A468B"/>
    <w:rsid w:val="009A6291"/>
    <w:rsid w:val="009A6E63"/>
    <w:rsid w:val="009A7170"/>
    <w:rsid w:val="009A7E27"/>
    <w:rsid w:val="009B10A3"/>
    <w:rsid w:val="009B4397"/>
    <w:rsid w:val="009B688D"/>
    <w:rsid w:val="009B6FEE"/>
    <w:rsid w:val="009C18FE"/>
    <w:rsid w:val="009C37F3"/>
    <w:rsid w:val="009C49EC"/>
    <w:rsid w:val="009D0B68"/>
    <w:rsid w:val="009D0FBA"/>
    <w:rsid w:val="009D5889"/>
    <w:rsid w:val="009D5F72"/>
    <w:rsid w:val="009D7477"/>
    <w:rsid w:val="009D7E4D"/>
    <w:rsid w:val="009E3B84"/>
    <w:rsid w:val="009E46E1"/>
    <w:rsid w:val="009E72EB"/>
    <w:rsid w:val="009E79F5"/>
    <w:rsid w:val="009F259F"/>
    <w:rsid w:val="009F2E98"/>
    <w:rsid w:val="009F359F"/>
    <w:rsid w:val="009F6912"/>
    <w:rsid w:val="00A006AE"/>
    <w:rsid w:val="00A013AF"/>
    <w:rsid w:val="00A04D87"/>
    <w:rsid w:val="00A076AB"/>
    <w:rsid w:val="00A14AB2"/>
    <w:rsid w:val="00A14BD4"/>
    <w:rsid w:val="00A159B3"/>
    <w:rsid w:val="00A15E59"/>
    <w:rsid w:val="00A179D8"/>
    <w:rsid w:val="00A20535"/>
    <w:rsid w:val="00A208A6"/>
    <w:rsid w:val="00A210F4"/>
    <w:rsid w:val="00A2677B"/>
    <w:rsid w:val="00A26EE7"/>
    <w:rsid w:val="00A316C7"/>
    <w:rsid w:val="00A41F41"/>
    <w:rsid w:val="00A42B08"/>
    <w:rsid w:val="00A430A2"/>
    <w:rsid w:val="00A44259"/>
    <w:rsid w:val="00A44A8D"/>
    <w:rsid w:val="00A4538F"/>
    <w:rsid w:val="00A458C7"/>
    <w:rsid w:val="00A45F6E"/>
    <w:rsid w:val="00A47D2E"/>
    <w:rsid w:val="00A47D74"/>
    <w:rsid w:val="00A47E5E"/>
    <w:rsid w:val="00A50994"/>
    <w:rsid w:val="00A521D8"/>
    <w:rsid w:val="00A52766"/>
    <w:rsid w:val="00A5276A"/>
    <w:rsid w:val="00A53435"/>
    <w:rsid w:val="00A569C2"/>
    <w:rsid w:val="00A56B3A"/>
    <w:rsid w:val="00A57065"/>
    <w:rsid w:val="00A619F1"/>
    <w:rsid w:val="00A62D08"/>
    <w:rsid w:val="00A633B5"/>
    <w:rsid w:val="00A63544"/>
    <w:rsid w:val="00A65E7F"/>
    <w:rsid w:val="00A67DD9"/>
    <w:rsid w:val="00A71ED0"/>
    <w:rsid w:val="00A730C9"/>
    <w:rsid w:val="00A7425B"/>
    <w:rsid w:val="00A80CBA"/>
    <w:rsid w:val="00A8169A"/>
    <w:rsid w:val="00A816B1"/>
    <w:rsid w:val="00A81D5F"/>
    <w:rsid w:val="00A84269"/>
    <w:rsid w:val="00A8427D"/>
    <w:rsid w:val="00A85825"/>
    <w:rsid w:val="00A8614E"/>
    <w:rsid w:val="00A86535"/>
    <w:rsid w:val="00A8666F"/>
    <w:rsid w:val="00A9159C"/>
    <w:rsid w:val="00A92AAA"/>
    <w:rsid w:val="00A9331D"/>
    <w:rsid w:val="00A94B3E"/>
    <w:rsid w:val="00A95586"/>
    <w:rsid w:val="00A956A6"/>
    <w:rsid w:val="00A960C7"/>
    <w:rsid w:val="00A969D4"/>
    <w:rsid w:val="00A971F9"/>
    <w:rsid w:val="00A97C6E"/>
    <w:rsid w:val="00AA1773"/>
    <w:rsid w:val="00AA228E"/>
    <w:rsid w:val="00AA265B"/>
    <w:rsid w:val="00AA2803"/>
    <w:rsid w:val="00AA2B3B"/>
    <w:rsid w:val="00AA2FE8"/>
    <w:rsid w:val="00AA3188"/>
    <w:rsid w:val="00AA354F"/>
    <w:rsid w:val="00AA69F6"/>
    <w:rsid w:val="00AB0407"/>
    <w:rsid w:val="00AB0B95"/>
    <w:rsid w:val="00AB1A0A"/>
    <w:rsid w:val="00AB26F2"/>
    <w:rsid w:val="00AB6B0A"/>
    <w:rsid w:val="00AC2DA0"/>
    <w:rsid w:val="00AC46C9"/>
    <w:rsid w:val="00AC498B"/>
    <w:rsid w:val="00AC4B30"/>
    <w:rsid w:val="00AC615C"/>
    <w:rsid w:val="00AC628B"/>
    <w:rsid w:val="00AC6C58"/>
    <w:rsid w:val="00AC7C7B"/>
    <w:rsid w:val="00AD0FC4"/>
    <w:rsid w:val="00AD1898"/>
    <w:rsid w:val="00AD42B1"/>
    <w:rsid w:val="00AE03C2"/>
    <w:rsid w:val="00AE1BFC"/>
    <w:rsid w:val="00AE22D6"/>
    <w:rsid w:val="00AE28B8"/>
    <w:rsid w:val="00AE362A"/>
    <w:rsid w:val="00AE3C67"/>
    <w:rsid w:val="00AE5771"/>
    <w:rsid w:val="00AE75DE"/>
    <w:rsid w:val="00AF41F8"/>
    <w:rsid w:val="00AF4F6A"/>
    <w:rsid w:val="00AF654F"/>
    <w:rsid w:val="00AF6C23"/>
    <w:rsid w:val="00AF7C74"/>
    <w:rsid w:val="00B02162"/>
    <w:rsid w:val="00B027CF"/>
    <w:rsid w:val="00B03070"/>
    <w:rsid w:val="00B033B8"/>
    <w:rsid w:val="00B05B6B"/>
    <w:rsid w:val="00B06BA2"/>
    <w:rsid w:val="00B06C41"/>
    <w:rsid w:val="00B06CA1"/>
    <w:rsid w:val="00B10E24"/>
    <w:rsid w:val="00B11E8D"/>
    <w:rsid w:val="00B13BA9"/>
    <w:rsid w:val="00B13C03"/>
    <w:rsid w:val="00B1419C"/>
    <w:rsid w:val="00B15B6E"/>
    <w:rsid w:val="00B15C41"/>
    <w:rsid w:val="00B15F6C"/>
    <w:rsid w:val="00B168D6"/>
    <w:rsid w:val="00B247FD"/>
    <w:rsid w:val="00B26C92"/>
    <w:rsid w:val="00B30696"/>
    <w:rsid w:val="00B318B8"/>
    <w:rsid w:val="00B32DC6"/>
    <w:rsid w:val="00B33B74"/>
    <w:rsid w:val="00B33C43"/>
    <w:rsid w:val="00B34B65"/>
    <w:rsid w:val="00B35B7F"/>
    <w:rsid w:val="00B3655A"/>
    <w:rsid w:val="00B366C2"/>
    <w:rsid w:val="00B36821"/>
    <w:rsid w:val="00B37106"/>
    <w:rsid w:val="00B3775A"/>
    <w:rsid w:val="00B37772"/>
    <w:rsid w:val="00B40785"/>
    <w:rsid w:val="00B41672"/>
    <w:rsid w:val="00B41B1D"/>
    <w:rsid w:val="00B42BAF"/>
    <w:rsid w:val="00B42E4D"/>
    <w:rsid w:val="00B43C4B"/>
    <w:rsid w:val="00B447CA"/>
    <w:rsid w:val="00B46033"/>
    <w:rsid w:val="00B5149B"/>
    <w:rsid w:val="00B5202B"/>
    <w:rsid w:val="00B53D72"/>
    <w:rsid w:val="00B5608E"/>
    <w:rsid w:val="00B561C8"/>
    <w:rsid w:val="00B569AA"/>
    <w:rsid w:val="00B57A1A"/>
    <w:rsid w:val="00B61393"/>
    <w:rsid w:val="00B63EDE"/>
    <w:rsid w:val="00B64412"/>
    <w:rsid w:val="00B65425"/>
    <w:rsid w:val="00B6585C"/>
    <w:rsid w:val="00B65ECF"/>
    <w:rsid w:val="00B67CAB"/>
    <w:rsid w:val="00B7066F"/>
    <w:rsid w:val="00B72435"/>
    <w:rsid w:val="00B81F9F"/>
    <w:rsid w:val="00B83355"/>
    <w:rsid w:val="00B83A25"/>
    <w:rsid w:val="00B84DDF"/>
    <w:rsid w:val="00B862EF"/>
    <w:rsid w:val="00B864FB"/>
    <w:rsid w:val="00B91856"/>
    <w:rsid w:val="00B93834"/>
    <w:rsid w:val="00B93DCF"/>
    <w:rsid w:val="00B94406"/>
    <w:rsid w:val="00B976B3"/>
    <w:rsid w:val="00BA1D1B"/>
    <w:rsid w:val="00BA3159"/>
    <w:rsid w:val="00BA3F85"/>
    <w:rsid w:val="00BA5287"/>
    <w:rsid w:val="00BA57E3"/>
    <w:rsid w:val="00BA6433"/>
    <w:rsid w:val="00BA692A"/>
    <w:rsid w:val="00BA6D58"/>
    <w:rsid w:val="00BB0947"/>
    <w:rsid w:val="00BB3401"/>
    <w:rsid w:val="00BB440D"/>
    <w:rsid w:val="00BB493E"/>
    <w:rsid w:val="00BB5026"/>
    <w:rsid w:val="00BB5465"/>
    <w:rsid w:val="00BB5C2C"/>
    <w:rsid w:val="00BB5C8D"/>
    <w:rsid w:val="00BB5DAB"/>
    <w:rsid w:val="00BC06F4"/>
    <w:rsid w:val="00BC2A96"/>
    <w:rsid w:val="00BC2D57"/>
    <w:rsid w:val="00BC3508"/>
    <w:rsid w:val="00BC5261"/>
    <w:rsid w:val="00BC55F5"/>
    <w:rsid w:val="00BC77EA"/>
    <w:rsid w:val="00BD356B"/>
    <w:rsid w:val="00BD440C"/>
    <w:rsid w:val="00BD67D4"/>
    <w:rsid w:val="00BD7752"/>
    <w:rsid w:val="00BE1C0C"/>
    <w:rsid w:val="00BE48D1"/>
    <w:rsid w:val="00BE56FC"/>
    <w:rsid w:val="00BE5D0A"/>
    <w:rsid w:val="00BF1C19"/>
    <w:rsid w:val="00BF35E4"/>
    <w:rsid w:val="00BF5097"/>
    <w:rsid w:val="00BF6CC2"/>
    <w:rsid w:val="00BF6FE7"/>
    <w:rsid w:val="00C0070D"/>
    <w:rsid w:val="00C01543"/>
    <w:rsid w:val="00C051EF"/>
    <w:rsid w:val="00C06278"/>
    <w:rsid w:val="00C067E9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805"/>
    <w:rsid w:val="00C211B3"/>
    <w:rsid w:val="00C236B0"/>
    <w:rsid w:val="00C2406A"/>
    <w:rsid w:val="00C2553B"/>
    <w:rsid w:val="00C25AE8"/>
    <w:rsid w:val="00C25F7D"/>
    <w:rsid w:val="00C265CE"/>
    <w:rsid w:val="00C272AE"/>
    <w:rsid w:val="00C273F3"/>
    <w:rsid w:val="00C27BB0"/>
    <w:rsid w:val="00C31A3D"/>
    <w:rsid w:val="00C34198"/>
    <w:rsid w:val="00C34633"/>
    <w:rsid w:val="00C34E91"/>
    <w:rsid w:val="00C35DFE"/>
    <w:rsid w:val="00C37A6E"/>
    <w:rsid w:val="00C37F0F"/>
    <w:rsid w:val="00C40D6A"/>
    <w:rsid w:val="00C41282"/>
    <w:rsid w:val="00C43451"/>
    <w:rsid w:val="00C43B58"/>
    <w:rsid w:val="00C43C21"/>
    <w:rsid w:val="00C441DB"/>
    <w:rsid w:val="00C46708"/>
    <w:rsid w:val="00C46F31"/>
    <w:rsid w:val="00C46FC5"/>
    <w:rsid w:val="00C5054A"/>
    <w:rsid w:val="00C5062A"/>
    <w:rsid w:val="00C50EF2"/>
    <w:rsid w:val="00C51BA1"/>
    <w:rsid w:val="00C52D45"/>
    <w:rsid w:val="00C5617A"/>
    <w:rsid w:val="00C56F5C"/>
    <w:rsid w:val="00C610FA"/>
    <w:rsid w:val="00C633ED"/>
    <w:rsid w:val="00C63797"/>
    <w:rsid w:val="00C6404D"/>
    <w:rsid w:val="00C649EF"/>
    <w:rsid w:val="00C65FC6"/>
    <w:rsid w:val="00C674B2"/>
    <w:rsid w:val="00C67D69"/>
    <w:rsid w:val="00C71039"/>
    <w:rsid w:val="00C74FDB"/>
    <w:rsid w:val="00C75111"/>
    <w:rsid w:val="00C77FFA"/>
    <w:rsid w:val="00C82D75"/>
    <w:rsid w:val="00C85858"/>
    <w:rsid w:val="00C862F7"/>
    <w:rsid w:val="00C901F8"/>
    <w:rsid w:val="00C90675"/>
    <w:rsid w:val="00C91842"/>
    <w:rsid w:val="00C92628"/>
    <w:rsid w:val="00C92991"/>
    <w:rsid w:val="00C9785E"/>
    <w:rsid w:val="00CA1E2A"/>
    <w:rsid w:val="00CA2429"/>
    <w:rsid w:val="00CA2467"/>
    <w:rsid w:val="00CA2856"/>
    <w:rsid w:val="00CA558E"/>
    <w:rsid w:val="00CA711B"/>
    <w:rsid w:val="00CA75AC"/>
    <w:rsid w:val="00CA7E58"/>
    <w:rsid w:val="00CB0B96"/>
    <w:rsid w:val="00CB0C4B"/>
    <w:rsid w:val="00CB2380"/>
    <w:rsid w:val="00CB2D71"/>
    <w:rsid w:val="00CB3C52"/>
    <w:rsid w:val="00CB458E"/>
    <w:rsid w:val="00CB5B82"/>
    <w:rsid w:val="00CB6AD1"/>
    <w:rsid w:val="00CC0425"/>
    <w:rsid w:val="00CC0EC1"/>
    <w:rsid w:val="00CC1962"/>
    <w:rsid w:val="00CC3A38"/>
    <w:rsid w:val="00CC58C5"/>
    <w:rsid w:val="00CC6578"/>
    <w:rsid w:val="00CC6660"/>
    <w:rsid w:val="00CC7B1A"/>
    <w:rsid w:val="00CD093B"/>
    <w:rsid w:val="00CD2BE3"/>
    <w:rsid w:val="00CD2FC0"/>
    <w:rsid w:val="00CD452E"/>
    <w:rsid w:val="00CD5970"/>
    <w:rsid w:val="00CD6ED2"/>
    <w:rsid w:val="00CE5D69"/>
    <w:rsid w:val="00CE762B"/>
    <w:rsid w:val="00CF1464"/>
    <w:rsid w:val="00CF18D2"/>
    <w:rsid w:val="00CF3F58"/>
    <w:rsid w:val="00CF4817"/>
    <w:rsid w:val="00CF522A"/>
    <w:rsid w:val="00CF524B"/>
    <w:rsid w:val="00CF60E9"/>
    <w:rsid w:val="00CF6159"/>
    <w:rsid w:val="00CF6AC4"/>
    <w:rsid w:val="00D01522"/>
    <w:rsid w:val="00D01A8B"/>
    <w:rsid w:val="00D036D9"/>
    <w:rsid w:val="00D05140"/>
    <w:rsid w:val="00D0530A"/>
    <w:rsid w:val="00D07953"/>
    <w:rsid w:val="00D15C4C"/>
    <w:rsid w:val="00D15D89"/>
    <w:rsid w:val="00D16C72"/>
    <w:rsid w:val="00D16FD3"/>
    <w:rsid w:val="00D2013D"/>
    <w:rsid w:val="00D2032B"/>
    <w:rsid w:val="00D213CE"/>
    <w:rsid w:val="00D24C53"/>
    <w:rsid w:val="00D2697A"/>
    <w:rsid w:val="00D35B06"/>
    <w:rsid w:val="00D3666D"/>
    <w:rsid w:val="00D37470"/>
    <w:rsid w:val="00D37F2D"/>
    <w:rsid w:val="00D4348C"/>
    <w:rsid w:val="00D45819"/>
    <w:rsid w:val="00D508B3"/>
    <w:rsid w:val="00D50A07"/>
    <w:rsid w:val="00D51DEC"/>
    <w:rsid w:val="00D5359A"/>
    <w:rsid w:val="00D54457"/>
    <w:rsid w:val="00D545D9"/>
    <w:rsid w:val="00D54BC3"/>
    <w:rsid w:val="00D56F76"/>
    <w:rsid w:val="00D66D8C"/>
    <w:rsid w:val="00D71455"/>
    <w:rsid w:val="00D72DCE"/>
    <w:rsid w:val="00D72F2E"/>
    <w:rsid w:val="00D735FB"/>
    <w:rsid w:val="00D75C34"/>
    <w:rsid w:val="00D77347"/>
    <w:rsid w:val="00D8024D"/>
    <w:rsid w:val="00D81698"/>
    <w:rsid w:val="00D821F2"/>
    <w:rsid w:val="00D837AF"/>
    <w:rsid w:val="00D85F72"/>
    <w:rsid w:val="00D862A3"/>
    <w:rsid w:val="00D87914"/>
    <w:rsid w:val="00D90A7C"/>
    <w:rsid w:val="00D913B0"/>
    <w:rsid w:val="00D91BBB"/>
    <w:rsid w:val="00D92AD9"/>
    <w:rsid w:val="00D9313B"/>
    <w:rsid w:val="00D9318B"/>
    <w:rsid w:val="00D95F2C"/>
    <w:rsid w:val="00DA1775"/>
    <w:rsid w:val="00DA2179"/>
    <w:rsid w:val="00DA2887"/>
    <w:rsid w:val="00DA30D5"/>
    <w:rsid w:val="00DA52F8"/>
    <w:rsid w:val="00DB0E2B"/>
    <w:rsid w:val="00DB162F"/>
    <w:rsid w:val="00DB34D3"/>
    <w:rsid w:val="00DB3CA3"/>
    <w:rsid w:val="00DB4BB7"/>
    <w:rsid w:val="00DB5A4D"/>
    <w:rsid w:val="00DB621E"/>
    <w:rsid w:val="00DC0F57"/>
    <w:rsid w:val="00DC1013"/>
    <w:rsid w:val="00DC3703"/>
    <w:rsid w:val="00DC3CA0"/>
    <w:rsid w:val="00DD01CD"/>
    <w:rsid w:val="00DD0A3D"/>
    <w:rsid w:val="00DD0B5C"/>
    <w:rsid w:val="00DD0DDB"/>
    <w:rsid w:val="00DD196F"/>
    <w:rsid w:val="00DD2D5F"/>
    <w:rsid w:val="00DD402A"/>
    <w:rsid w:val="00DD46C0"/>
    <w:rsid w:val="00DD6AFD"/>
    <w:rsid w:val="00DD6E39"/>
    <w:rsid w:val="00DE0FEA"/>
    <w:rsid w:val="00DE208B"/>
    <w:rsid w:val="00DE21E4"/>
    <w:rsid w:val="00DE29FE"/>
    <w:rsid w:val="00DE2B2A"/>
    <w:rsid w:val="00DE30D8"/>
    <w:rsid w:val="00DE3506"/>
    <w:rsid w:val="00DE36A7"/>
    <w:rsid w:val="00DE3D77"/>
    <w:rsid w:val="00DE58C1"/>
    <w:rsid w:val="00DF1D4F"/>
    <w:rsid w:val="00DF26D9"/>
    <w:rsid w:val="00DF453C"/>
    <w:rsid w:val="00DF4669"/>
    <w:rsid w:val="00DF4DD3"/>
    <w:rsid w:val="00DF6AB5"/>
    <w:rsid w:val="00E00248"/>
    <w:rsid w:val="00E01F36"/>
    <w:rsid w:val="00E0657C"/>
    <w:rsid w:val="00E072E2"/>
    <w:rsid w:val="00E073BC"/>
    <w:rsid w:val="00E12E26"/>
    <w:rsid w:val="00E12E5C"/>
    <w:rsid w:val="00E1413F"/>
    <w:rsid w:val="00E1455A"/>
    <w:rsid w:val="00E148C5"/>
    <w:rsid w:val="00E1507B"/>
    <w:rsid w:val="00E16EF0"/>
    <w:rsid w:val="00E16F6F"/>
    <w:rsid w:val="00E16FFF"/>
    <w:rsid w:val="00E20955"/>
    <w:rsid w:val="00E2281E"/>
    <w:rsid w:val="00E22F2B"/>
    <w:rsid w:val="00E24F07"/>
    <w:rsid w:val="00E25765"/>
    <w:rsid w:val="00E258B7"/>
    <w:rsid w:val="00E27A9F"/>
    <w:rsid w:val="00E3068C"/>
    <w:rsid w:val="00E306B8"/>
    <w:rsid w:val="00E30BD9"/>
    <w:rsid w:val="00E3198B"/>
    <w:rsid w:val="00E32314"/>
    <w:rsid w:val="00E340AE"/>
    <w:rsid w:val="00E35050"/>
    <w:rsid w:val="00E3695B"/>
    <w:rsid w:val="00E37BD4"/>
    <w:rsid w:val="00E37D6A"/>
    <w:rsid w:val="00E41185"/>
    <w:rsid w:val="00E423C8"/>
    <w:rsid w:val="00E43F7A"/>
    <w:rsid w:val="00E45878"/>
    <w:rsid w:val="00E474F2"/>
    <w:rsid w:val="00E5126E"/>
    <w:rsid w:val="00E620F6"/>
    <w:rsid w:val="00E66E44"/>
    <w:rsid w:val="00E67283"/>
    <w:rsid w:val="00E67F34"/>
    <w:rsid w:val="00E71A71"/>
    <w:rsid w:val="00E7299B"/>
    <w:rsid w:val="00E7363B"/>
    <w:rsid w:val="00E748D9"/>
    <w:rsid w:val="00E75E61"/>
    <w:rsid w:val="00E7611A"/>
    <w:rsid w:val="00E77447"/>
    <w:rsid w:val="00E80D88"/>
    <w:rsid w:val="00E82399"/>
    <w:rsid w:val="00E8336E"/>
    <w:rsid w:val="00E843A0"/>
    <w:rsid w:val="00E87595"/>
    <w:rsid w:val="00E90AA2"/>
    <w:rsid w:val="00E91567"/>
    <w:rsid w:val="00E91C86"/>
    <w:rsid w:val="00E92069"/>
    <w:rsid w:val="00E936A0"/>
    <w:rsid w:val="00E93FF5"/>
    <w:rsid w:val="00EA0036"/>
    <w:rsid w:val="00EA1097"/>
    <w:rsid w:val="00EA49D9"/>
    <w:rsid w:val="00EA4BE6"/>
    <w:rsid w:val="00EA58E3"/>
    <w:rsid w:val="00EA64FC"/>
    <w:rsid w:val="00EB0EA4"/>
    <w:rsid w:val="00EB156E"/>
    <w:rsid w:val="00EB33F1"/>
    <w:rsid w:val="00EB37D7"/>
    <w:rsid w:val="00EB64D4"/>
    <w:rsid w:val="00EB6D97"/>
    <w:rsid w:val="00EC10FA"/>
    <w:rsid w:val="00EC143C"/>
    <w:rsid w:val="00EC2AC8"/>
    <w:rsid w:val="00EC3793"/>
    <w:rsid w:val="00EC4788"/>
    <w:rsid w:val="00EC54CD"/>
    <w:rsid w:val="00EC5C91"/>
    <w:rsid w:val="00EC6685"/>
    <w:rsid w:val="00ED0444"/>
    <w:rsid w:val="00ED0700"/>
    <w:rsid w:val="00ED27BD"/>
    <w:rsid w:val="00ED3DFE"/>
    <w:rsid w:val="00ED4FB3"/>
    <w:rsid w:val="00ED578B"/>
    <w:rsid w:val="00ED5F5F"/>
    <w:rsid w:val="00ED5F86"/>
    <w:rsid w:val="00ED7233"/>
    <w:rsid w:val="00EE039D"/>
    <w:rsid w:val="00EE0CB9"/>
    <w:rsid w:val="00EE28E5"/>
    <w:rsid w:val="00EE6165"/>
    <w:rsid w:val="00EF06DD"/>
    <w:rsid w:val="00EF2283"/>
    <w:rsid w:val="00EF5E3A"/>
    <w:rsid w:val="00F00916"/>
    <w:rsid w:val="00F02435"/>
    <w:rsid w:val="00F02B21"/>
    <w:rsid w:val="00F03966"/>
    <w:rsid w:val="00F03F58"/>
    <w:rsid w:val="00F04A3A"/>
    <w:rsid w:val="00F10931"/>
    <w:rsid w:val="00F10A0D"/>
    <w:rsid w:val="00F11A93"/>
    <w:rsid w:val="00F12A25"/>
    <w:rsid w:val="00F14771"/>
    <w:rsid w:val="00F1725B"/>
    <w:rsid w:val="00F23B1A"/>
    <w:rsid w:val="00F24EC0"/>
    <w:rsid w:val="00F26037"/>
    <w:rsid w:val="00F26F2A"/>
    <w:rsid w:val="00F27094"/>
    <w:rsid w:val="00F3067A"/>
    <w:rsid w:val="00F3157B"/>
    <w:rsid w:val="00F316C6"/>
    <w:rsid w:val="00F31B6D"/>
    <w:rsid w:val="00F33080"/>
    <w:rsid w:val="00F3584A"/>
    <w:rsid w:val="00F3695F"/>
    <w:rsid w:val="00F42B11"/>
    <w:rsid w:val="00F42DB0"/>
    <w:rsid w:val="00F43152"/>
    <w:rsid w:val="00F439A6"/>
    <w:rsid w:val="00F47010"/>
    <w:rsid w:val="00F51D63"/>
    <w:rsid w:val="00F538D2"/>
    <w:rsid w:val="00F54845"/>
    <w:rsid w:val="00F54BA2"/>
    <w:rsid w:val="00F54ED5"/>
    <w:rsid w:val="00F5659A"/>
    <w:rsid w:val="00F61669"/>
    <w:rsid w:val="00F62AC7"/>
    <w:rsid w:val="00F630C1"/>
    <w:rsid w:val="00F641FA"/>
    <w:rsid w:val="00F653AF"/>
    <w:rsid w:val="00F659CD"/>
    <w:rsid w:val="00F65F38"/>
    <w:rsid w:val="00F661D3"/>
    <w:rsid w:val="00F705C0"/>
    <w:rsid w:val="00F707F1"/>
    <w:rsid w:val="00F711B2"/>
    <w:rsid w:val="00F71530"/>
    <w:rsid w:val="00F7252F"/>
    <w:rsid w:val="00F731BD"/>
    <w:rsid w:val="00F735F7"/>
    <w:rsid w:val="00F7386E"/>
    <w:rsid w:val="00F73B6F"/>
    <w:rsid w:val="00F745FE"/>
    <w:rsid w:val="00F74FC3"/>
    <w:rsid w:val="00F7688F"/>
    <w:rsid w:val="00F77B1F"/>
    <w:rsid w:val="00F846DD"/>
    <w:rsid w:val="00F84EFA"/>
    <w:rsid w:val="00F87222"/>
    <w:rsid w:val="00F90A92"/>
    <w:rsid w:val="00F91934"/>
    <w:rsid w:val="00F91A8C"/>
    <w:rsid w:val="00F91A99"/>
    <w:rsid w:val="00F91CDC"/>
    <w:rsid w:val="00F92663"/>
    <w:rsid w:val="00F929C4"/>
    <w:rsid w:val="00F930CA"/>
    <w:rsid w:val="00F93BBB"/>
    <w:rsid w:val="00F93F8C"/>
    <w:rsid w:val="00F9596D"/>
    <w:rsid w:val="00F962DA"/>
    <w:rsid w:val="00F9744A"/>
    <w:rsid w:val="00F9760C"/>
    <w:rsid w:val="00FA0DB0"/>
    <w:rsid w:val="00FA161C"/>
    <w:rsid w:val="00FA3EB0"/>
    <w:rsid w:val="00FA3ECA"/>
    <w:rsid w:val="00FA44E5"/>
    <w:rsid w:val="00FA4F9A"/>
    <w:rsid w:val="00FA5278"/>
    <w:rsid w:val="00FA60FB"/>
    <w:rsid w:val="00FB0298"/>
    <w:rsid w:val="00FB12F8"/>
    <w:rsid w:val="00FB1C0D"/>
    <w:rsid w:val="00FB2344"/>
    <w:rsid w:val="00FB490D"/>
    <w:rsid w:val="00FB74BD"/>
    <w:rsid w:val="00FC00C6"/>
    <w:rsid w:val="00FC29AA"/>
    <w:rsid w:val="00FC2C65"/>
    <w:rsid w:val="00FC2C88"/>
    <w:rsid w:val="00FC37C0"/>
    <w:rsid w:val="00FC39A5"/>
    <w:rsid w:val="00FC3A94"/>
    <w:rsid w:val="00FC6248"/>
    <w:rsid w:val="00FC69CA"/>
    <w:rsid w:val="00FC6AEB"/>
    <w:rsid w:val="00FD0322"/>
    <w:rsid w:val="00FD0C6D"/>
    <w:rsid w:val="00FD1957"/>
    <w:rsid w:val="00FD4445"/>
    <w:rsid w:val="00FD4F89"/>
    <w:rsid w:val="00FD7EFF"/>
    <w:rsid w:val="00FE084C"/>
    <w:rsid w:val="00FE0F69"/>
    <w:rsid w:val="00FE3AA6"/>
    <w:rsid w:val="00FE4546"/>
    <w:rsid w:val="00FE49D6"/>
    <w:rsid w:val="00FE4AFC"/>
    <w:rsid w:val="00FE5D49"/>
    <w:rsid w:val="00FE66A8"/>
    <w:rsid w:val="00FE7081"/>
    <w:rsid w:val="00FE76C4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75"/>
    <w:rPr>
      <w:rFonts w:ascii="Arial" w:hAnsi="Arial"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71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1455"/>
    <w:rPr>
      <w:rFonts w:ascii="Tahoma" w:hAnsi="Tahoma" w:cs="Tahoma"/>
      <w:sz w:val="16"/>
      <w:szCs w:val="16"/>
    </w:rPr>
  </w:style>
  <w:style w:type="paragraph" w:customStyle="1" w:styleId="StyleEYBodytextwithparaspaceCentered">
    <w:name w:val="Style EY Body text (with para space) + Centered"/>
    <w:basedOn w:val="EYBodytextwithparaspace"/>
    <w:uiPriority w:val="99"/>
    <w:rsid w:val="00497374"/>
    <w:pPr>
      <w:jc w:val="center"/>
    </w:pPr>
    <w:rPr>
      <w:szCs w:val="20"/>
    </w:rPr>
  </w:style>
  <w:style w:type="paragraph" w:styleId="Header">
    <w:name w:val="header"/>
    <w:basedOn w:val="Normal"/>
    <w:link w:val="HeaderChar"/>
    <w:uiPriority w:val="99"/>
    <w:rsid w:val="007753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AC6"/>
    <w:rPr>
      <w:rFonts w:ascii="Arial" w:hAnsi="Arial"/>
      <w:sz w:val="20"/>
      <w:szCs w:val="24"/>
      <w:lang w:val="en-US" w:eastAsia="en-US"/>
    </w:rPr>
  </w:style>
  <w:style w:type="table" w:styleId="TableGrid">
    <w:name w:val="Table Grid"/>
    <w:basedOn w:val="TableNormal"/>
    <w:uiPriority w:val="59"/>
    <w:rsid w:val="009857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uiPriority w:val="99"/>
    <w:rsid w:val="00883001"/>
    <w:pPr>
      <w:suppressAutoHyphens/>
    </w:pPr>
    <w:rPr>
      <w:rFonts w:ascii="Arial" w:hAnsi="Arial"/>
      <w:kern w:val="12"/>
      <w:sz w:val="11"/>
      <w:szCs w:val="24"/>
      <w:lang w:val="en-US" w:eastAsia="en-US"/>
    </w:rPr>
  </w:style>
  <w:style w:type="paragraph" w:customStyle="1" w:styleId="EYBodytextsolid">
    <w:name w:val="EY Body text (solid)"/>
    <w:basedOn w:val="EYNormal"/>
    <w:uiPriority w:val="99"/>
    <w:rsid w:val="003B5B34"/>
    <w:pPr>
      <w:tabs>
        <w:tab w:val="left" w:pos="907"/>
      </w:tabs>
      <w:spacing w:line="500" w:lineRule="atLeast"/>
    </w:pPr>
    <w:rPr>
      <w:sz w:val="20"/>
    </w:rPr>
  </w:style>
  <w:style w:type="paragraph" w:customStyle="1" w:styleId="EYBoldsubjectheading">
    <w:name w:val="EY Bold subject heading"/>
    <w:basedOn w:val="EYNormal"/>
    <w:uiPriority w:val="99"/>
    <w:rsid w:val="00883001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uiPriority w:val="99"/>
    <w:rsid w:val="00F661D3"/>
    <w:rPr>
      <w:color w:val="808080"/>
    </w:rPr>
  </w:style>
  <w:style w:type="paragraph" w:customStyle="1" w:styleId="EYDocumentpromptsbold">
    <w:name w:val="EY Document prompts (bold)"/>
    <w:basedOn w:val="EYDocumentprompts"/>
    <w:uiPriority w:val="99"/>
    <w:rsid w:val="004334A8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uiPriority w:val="99"/>
    <w:rsid w:val="008E4451"/>
    <w:pPr>
      <w:tabs>
        <w:tab w:val="clear" w:pos="907"/>
        <w:tab w:val="left" w:pos="2495"/>
      </w:tabs>
      <w:spacing w:line="260" w:lineRule="atLeast"/>
    </w:pPr>
  </w:style>
  <w:style w:type="paragraph" w:styleId="Footer">
    <w:name w:val="footer"/>
    <w:basedOn w:val="Normal"/>
    <w:link w:val="FooterChar"/>
    <w:uiPriority w:val="99"/>
    <w:rsid w:val="00775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AC6"/>
    <w:rPr>
      <w:rFonts w:ascii="Arial" w:hAnsi="Arial"/>
      <w:sz w:val="20"/>
      <w:szCs w:val="24"/>
      <w:lang w:val="en-US"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uiPriority w:val="99"/>
    <w:locked/>
    <w:rsid w:val="00883001"/>
    <w:rPr>
      <w:rFonts w:ascii="Arial" w:hAnsi="Arial" w:cs="Times New Roman"/>
      <w:kern w:val="12"/>
      <w:sz w:val="24"/>
      <w:szCs w:val="24"/>
    </w:rPr>
  </w:style>
  <w:style w:type="paragraph" w:customStyle="1" w:styleId="EYDocumenttitle">
    <w:name w:val="EY Document title"/>
    <w:basedOn w:val="EYBodytextsolid"/>
    <w:next w:val="EYBodytextsolid"/>
    <w:uiPriority w:val="99"/>
    <w:rsid w:val="0036047F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uiPriority w:val="99"/>
    <w:rsid w:val="003B5B34"/>
    <w:pPr>
      <w:spacing w:line="26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3B5B34"/>
    <w:pPr>
      <w:spacing w:after="20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uiPriority w:val="99"/>
    <w:rsid w:val="003B5B34"/>
    <w:pPr>
      <w:spacing w:after="20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link w:val="EYBodytextwithparaspaceChar"/>
    <w:rsid w:val="00883001"/>
    <w:pPr>
      <w:spacing w:after="400" w:line="360" w:lineRule="auto"/>
    </w:pPr>
  </w:style>
  <w:style w:type="paragraph" w:customStyle="1" w:styleId="EYDate">
    <w:name w:val="EY Date"/>
    <w:basedOn w:val="EYDocumentprompts"/>
    <w:uiPriority w:val="99"/>
    <w:rsid w:val="003A5E12"/>
  </w:style>
  <w:style w:type="paragraph" w:customStyle="1" w:styleId="EYBulletedtext1">
    <w:name w:val="EY Bulleted text 1"/>
    <w:basedOn w:val="EYBodytextwithparaspace"/>
    <w:link w:val="EYBulletedtext1Char"/>
    <w:uiPriority w:val="99"/>
    <w:rsid w:val="00842CB7"/>
    <w:pPr>
      <w:numPr>
        <w:numId w:val="4"/>
      </w:numPr>
      <w:tabs>
        <w:tab w:val="clear" w:pos="907"/>
      </w:tabs>
      <w:spacing w:after="0"/>
    </w:pPr>
  </w:style>
  <w:style w:type="paragraph" w:customStyle="1" w:styleId="EYBulletedtext2">
    <w:name w:val="EY Bulleted text 2"/>
    <w:basedOn w:val="EYBodytextwithparaspace"/>
    <w:uiPriority w:val="99"/>
    <w:rsid w:val="00842CB7"/>
    <w:pPr>
      <w:numPr>
        <w:numId w:val="2"/>
      </w:numPr>
      <w:tabs>
        <w:tab w:val="clear" w:pos="907"/>
      </w:tabs>
      <w:spacing w:after="0"/>
      <w:ind w:left="578" w:hanging="289"/>
    </w:pPr>
  </w:style>
  <w:style w:type="paragraph" w:styleId="HTMLPreformatted">
    <w:name w:val="HTML Preformatted"/>
    <w:basedOn w:val="Normal"/>
    <w:link w:val="HTMLPreformattedChar"/>
    <w:uiPriority w:val="99"/>
    <w:rsid w:val="0084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5AC6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EYLegal">
    <w:name w:val="EY Legal"/>
    <w:basedOn w:val="AboutEY"/>
    <w:uiPriority w:val="99"/>
    <w:rsid w:val="003C6D53"/>
    <w:pPr>
      <w:spacing w:after="120"/>
    </w:pPr>
    <w:rPr>
      <w:sz w:val="16"/>
    </w:rPr>
  </w:style>
  <w:style w:type="paragraph" w:customStyle="1" w:styleId="Legalcopy">
    <w:name w:val="Legal copy"/>
    <w:basedOn w:val="Normal"/>
    <w:uiPriority w:val="99"/>
    <w:rsid w:val="003C6D53"/>
    <w:rPr>
      <w:sz w:val="16"/>
    </w:rPr>
  </w:style>
  <w:style w:type="paragraph" w:customStyle="1" w:styleId="AboutEY">
    <w:name w:val="About EY"/>
    <w:basedOn w:val="EYBodytextwithparaspace"/>
    <w:uiPriority w:val="99"/>
    <w:rsid w:val="00883001"/>
    <w:pPr>
      <w:spacing w:after="240" w:line="240" w:lineRule="auto"/>
    </w:pPr>
  </w:style>
  <w:style w:type="paragraph" w:styleId="NormalWeb">
    <w:name w:val="Normal (Web)"/>
    <w:basedOn w:val="Normal"/>
    <w:uiPriority w:val="99"/>
    <w:rsid w:val="00845F5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E208B"/>
    <w:rPr>
      <w:rFonts w:cs="Times New Roman"/>
      <w:color w:val="0000FF"/>
      <w:u w:val="single"/>
    </w:rPr>
  </w:style>
  <w:style w:type="paragraph" w:customStyle="1" w:styleId="StyleEYBodytextwithparaspaceCentered1">
    <w:name w:val="Style EY Body text (with para space) + Centered1"/>
    <w:basedOn w:val="EYBodytextwithparaspace"/>
    <w:uiPriority w:val="99"/>
    <w:rsid w:val="00883001"/>
    <w:pPr>
      <w:jc w:val="center"/>
    </w:pPr>
    <w:rPr>
      <w:szCs w:val="20"/>
    </w:rPr>
  </w:style>
  <w:style w:type="paragraph" w:customStyle="1" w:styleId="EYBusinessaddress">
    <w:name w:val="EY Business address"/>
    <w:basedOn w:val="EYNormal"/>
    <w:uiPriority w:val="99"/>
    <w:rsid w:val="00F661D3"/>
    <w:pPr>
      <w:spacing w:line="170" w:lineRule="exact"/>
    </w:pPr>
    <w:rPr>
      <w:color w:val="808080"/>
      <w:sz w:val="15"/>
    </w:rPr>
  </w:style>
  <w:style w:type="character" w:customStyle="1" w:styleId="EYBulletedtext1Char">
    <w:name w:val="EY Bulleted text 1 Char"/>
    <w:basedOn w:val="DefaultParagraphFont"/>
    <w:link w:val="EYBulletedtext1"/>
    <w:uiPriority w:val="99"/>
    <w:locked/>
    <w:rsid w:val="00842CB7"/>
    <w:rPr>
      <w:rFonts w:ascii="Arial" w:hAnsi="Arial" w:cs="Times New Roman"/>
      <w:kern w:val="12"/>
      <w:sz w:val="24"/>
      <w:szCs w:val="24"/>
    </w:rPr>
  </w:style>
  <w:style w:type="paragraph" w:customStyle="1" w:styleId="EYBodytextnoparaspace">
    <w:name w:val="EY Body text (no para space)"/>
    <w:basedOn w:val="EYNormal"/>
    <w:uiPriority w:val="99"/>
    <w:rsid w:val="00842CB7"/>
    <w:pPr>
      <w:tabs>
        <w:tab w:val="left" w:pos="907"/>
      </w:tabs>
      <w:spacing w:line="360" w:lineRule="auto"/>
    </w:pPr>
    <w:rPr>
      <w:sz w:val="20"/>
    </w:rPr>
  </w:style>
  <w:style w:type="paragraph" w:customStyle="1" w:styleId="Bullet">
    <w:name w:val="Bullet"/>
    <w:basedOn w:val="EYBulletedtext1"/>
    <w:link w:val="BulletChar"/>
    <w:uiPriority w:val="99"/>
    <w:rsid w:val="00C92991"/>
    <w:pPr>
      <w:tabs>
        <w:tab w:val="left" w:pos="270"/>
      </w:tabs>
      <w:ind w:left="270" w:hanging="270"/>
    </w:pPr>
  </w:style>
  <w:style w:type="character" w:customStyle="1" w:styleId="BulletChar">
    <w:name w:val="Bullet Char"/>
    <w:basedOn w:val="EYBulletedtext1Char"/>
    <w:link w:val="Bullet"/>
    <w:uiPriority w:val="99"/>
    <w:locked/>
    <w:rsid w:val="00C92991"/>
    <w:rPr>
      <w:rFonts w:ascii="Arial" w:hAnsi="Arial" w:cs="Times New Roman"/>
      <w:kern w:val="12"/>
      <w:sz w:val="24"/>
      <w:szCs w:val="24"/>
    </w:rPr>
  </w:style>
  <w:style w:type="paragraph" w:customStyle="1" w:styleId="EYHeading2">
    <w:name w:val="EY Heading 2"/>
    <w:basedOn w:val="Normal"/>
    <w:next w:val="EYBodytextwithparaspace"/>
    <w:link w:val="EYHeading2Char"/>
    <w:uiPriority w:val="99"/>
    <w:rsid w:val="00F00916"/>
    <w:pPr>
      <w:keepNext/>
      <w:suppressAutoHyphens/>
      <w:spacing w:before="120" w:after="120"/>
    </w:pPr>
    <w:rPr>
      <w:b/>
      <w:kern w:val="12"/>
      <w:sz w:val="22"/>
      <w:lang w:val="en-GB"/>
    </w:rPr>
  </w:style>
  <w:style w:type="character" w:customStyle="1" w:styleId="EYHeading2Char">
    <w:name w:val="EY Heading 2 Char"/>
    <w:basedOn w:val="DefaultParagraphFont"/>
    <w:link w:val="EYHeading2"/>
    <w:uiPriority w:val="99"/>
    <w:locked/>
    <w:rsid w:val="00F00916"/>
    <w:rPr>
      <w:rFonts w:ascii="Arial" w:hAnsi="Arial" w:cs="Times New Roman"/>
      <w:b/>
      <w:kern w:val="12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sid w:val="008061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61A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61A7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6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61A7"/>
    <w:rPr>
      <w:rFonts w:ascii="Arial" w:hAnsi="Arial" w:cs="Times New Roman"/>
      <w:b/>
      <w:bCs/>
    </w:rPr>
  </w:style>
  <w:style w:type="paragraph" w:styleId="ListParagraph">
    <w:name w:val="List Paragraph"/>
    <w:basedOn w:val="Normal"/>
    <w:qFormat/>
    <w:rsid w:val="002B5B60"/>
    <w:pPr>
      <w:ind w:left="720"/>
      <w:contextualSpacing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75"/>
    <w:rPr>
      <w:rFonts w:ascii="Arial" w:hAnsi="Arial"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71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1455"/>
    <w:rPr>
      <w:rFonts w:ascii="Tahoma" w:hAnsi="Tahoma" w:cs="Tahoma"/>
      <w:sz w:val="16"/>
      <w:szCs w:val="16"/>
    </w:rPr>
  </w:style>
  <w:style w:type="paragraph" w:customStyle="1" w:styleId="StyleEYBodytextwithparaspaceCentered">
    <w:name w:val="Style EY Body text (with para space) + Centered"/>
    <w:basedOn w:val="EYBodytextwithparaspace"/>
    <w:uiPriority w:val="99"/>
    <w:rsid w:val="00497374"/>
    <w:pPr>
      <w:jc w:val="center"/>
    </w:pPr>
    <w:rPr>
      <w:szCs w:val="20"/>
    </w:rPr>
  </w:style>
  <w:style w:type="paragraph" w:styleId="Header">
    <w:name w:val="header"/>
    <w:basedOn w:val="Normal"/>
    <w:link w:val="HeaderChar"/>
    <w:uiPriority w:val="99"/>
    <w:rsid w:val="007753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AC6"/>
    <w:rPr>
      <w:rFonts w:ascii="Arial" w:hAnsi="Arial"/>
      <w:sz w:val="20"/>
      <w:szCs w:val="24"/>
      <w:lang w:val="en-US" w:eastAsia="en-US"/>
    </w:rPr>
  </w:style>
  <w:style w:type="table" w:styleId="TableGrid">
    <w:name w:val="Table Grid"/>
    <w:basedOn w:val="TableNormal"/>
    <w:uiPriority w:val="59"/>
    <w:rsid w:val="009857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uiPriority w:val="99"/>
    <w:rsid w:val="00883001"/>
    <w:pPr>
      <w:suppressAutoHyphens/>
    </w:pPr>
    <w:rPr>
      <w:rFonts w:ascii="Arial" w:hAnsi="Arial"/>
      <w:kern w:val="12"/>
      <w:sz w:val="11"/>
      <w:szCs w:val="24"/>
      <w:lang w:val="en-US" w:eastAsia="en-US"/>
    </w:rPr>
  </w:style>
  <w:style w:type="paragraph" w:customStyle="1" w:styleId="EYBodytextsolid">
    <w:name w:val="EY Body text (solid)"/>
    <w:basedOn w:val="EYNormal"/>
    <w:uiPriority w:val="99"/>
    <w:rsid w:val="003B5B34"/>
    <w:pPr>
      <w:tabs>
        <w:tab w:val="left" w:pos="907"/>
      </w:tabs>
      <w:spacing w:line="500" w:lineRule="atLeast"/>
    </w:pPr>
    <w:rPr>
      <w:sz w:val="20"/>
    </w:rPr>
  </w:style>
  <w:style w:type="paragraph" w:customStyle="1" w:styleId="EYBoldsubjectheading">
    <w:name w:val="EY Bold subject heading"/>
    <w:basedOn w:val="EYNormal"/>
    <w:uiPriority w:val="99"/>
    <w:rsid w:val="00883001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uiPriority w:val="99"/>
    <w:rsid w:val="00F661D3"/>
    <w:rPr>
      <w:color w:val="808080"/>
    </w:rPr>
  </w:style>
  <w:style w:type="paragraph" w:customStyle="1" w:styleId="EYDocumentpromptsbold">
    <w:name w:val="EY Document prompts (bold)"/>
    <w:basedOn w:val="EYDocumentprompts"/>
    <w:uiPriority w:val="99"/>
    <w:rsid w:val="004334A8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uiPriority w:val="99"/>
    <w:rsid w:val="008E4451"/>
    <w:pPr>
      <w:tabs>
        <w:tab w:val="clear" w:pos="907"/>
        <w:tab w:val="left" w:pos="2495"/>
      </w:tabs>
      <w:spacing w:line="260" w:lineRule="atLeast"/>
    </w:pPr>
  </w:style>
  <w:style w:type="paragraph" w:styleId="Footer">
    <w:name w:val="footer"/>
    <w:basedOn w:val="Normal"/>
    <w:link w:val="FooterChar"/>
    <w:uiPriority w:val="99"/>
    <w:rsid w:val="00775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AC6"/>
    <w:rPr>
      <w:rFonts w:ascii="Arial" w:hAnsi="Arial"/>
      <w:sz w:val="20"/>
      <w:szCs w:val="24"/>
      <w:lang w:val="en-US"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uiPriority w:val="99"/>
    <w:locked/>
    <w:rsid w:val="00883001"/>
    <w:rPr>
      <w:rFonts w:ascii="Arial" w:hAnsi="Arial" w:cs="Times New Roman"/>
      <w:kern w:val="12"/>
      <w:sz w:val="24"/>
      <w:szCs w:val="24"/>
    </w:rPr>
  </w:style>
  <w:style w:type="paragraph" w:customStyle="1" w:styleId="EYDocumenttitle">
    <w:name w:val="EY Document title"/>
    <w:basedOn w:val="EYBodytextsolid"/>
    <w:next w:val="EYBodytextsolid"/>
    <w:uiPriority w:val="99"/>
    <w:rsid w:val="0036047F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uiPriority w:val="99"/>
    <w:rsid w:val="003B5B34"/>
    <w:pPr>
      <w:spacing w:line="26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3B5B34"/>
    <w:pPr>
      <w:spacing w:after="20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uiPriority w:val="99"/>
    <w:rsid w:val="003B5B34"/>
    <w:pPr>
      <w:spacing w:after="20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link w:val="EYBodytextwithparaspaceChar"/>
    <w:rsid w:val="00883001"/>
    <w:pPr>
      <w:spacing w:after="400" w:line="360" w:lineRule="auto"/>
    </w:pPr>
  </w:style>
  <w:style w:type="paragraph" w:customStyle="1" w:styleId="EYDate">
    <w:name w:val="EY Date"/>
    <w:basedOn w:val="EYDocumentprompts"/>
    <w:uiPriority w:val="99"/>
    <w:rsid w:val="003A5E12"/>
  </w:style>
  <w:style w:type="paragraph" w:customStyle="1" w:styleId="EYBulletedtext1">
    <w:name w:val="EY Bulleted text 1"/>
    <w:basedOn w:val="EYBodytextwithparaspace"/>
    <w:link w:val="EYBulletedtext1Char"/>
    <w:uiPriority w:val="99"/>
    <w:rsid w:val="00842CB7"/>
    <w:pPr>
      <w:numPr>
        <w:numId w:val="4"/>
      </w:numPr>
      <w:tabs>
        <w:tab w:val="clear" w:pos="907"/>
      </w:tabs>
      <w:spacing w:after="0"/>
    </w:pPr>
  </w:style>
  <w:style w:type="paragraph" w:customStyle="1" w:styleId="EYBulletedtext2">
    <w:name w:val="EY Bulleted text 2"/>
    <w:basedOn w:val="EYBodytextwithparaspace"/>
    <w:uiPriority w:val="99"/>
    <w:rsid w:val="00842CB7"/>
    <w:pPr>
      <w:numPr>
        <w:numId w:val="2"/>
      </w:numPr>
      <w:tabs>
        <w:tab w:val="clear" w:pos="907"/>
      </w:tabs>
      <w:spacing w:after="0"/>
      <w:ind w:left="578" w:hanging="289"/>
    </w:pPr>
  </w:style>
  <w:style w:type="paragraph" w:styleId="HTMLPreformatted">
    <w:name w:val="HTML Preformatted"/>
    <w:basedOn w:val="Normal"/>
    <w:link w:val="HTMLPreformattedChar"/>
    <w:uiPriority w:val="99"/>
    <w:rsid w:val="0084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5AC6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EYLegal">
    <w:name w:val="EY Legal"/>
    <w:basedOn w:val="AboutEY"/>
    <w:uiPriority w:val="99"/>
    <w:rsid w:val="003C6D53"/>
    <w:pPr>
      <w:spacing w:after="120"/>
    </w:pPr>
    <w:rPr>
      <w:sz w:val="16"/>
    </w:rPr>
  </w:style>
  <w:style w:type="paragraph" w:customStyle="1" w:styleId="Legalcopy">
    <w:name w:val="Legal copy"/>
    <w:basedOn w:val="Normal"/>
    <w:uiPriority w:val="99"/>
    <w:rsid w:val="003C6D53"/>
    <w:rPr>
      <w:sz w:val="16"/>
    </w:rPr>
  </w:style>
  <w:style w:type="paragraph" w:customStyle="1" w:styleId="AboutEY">
    <w:name w:val="About EY"/>
    <w:basedOn w:val="EYBodytextwithparaspace"/>
    <w:uiPriority w:val="99"/>
    <w:rsid w:val="00883001"/>
    <w:pPr>
      <w:spacing w:after="240" w:line="240" w:lineRule="auto"/>
    </w:pPr>
  </w:style>
  <w:style w:type="paragraph" w:styleId="NormalWeb">
    <w:name w:val="Normal (Web)"/>
    <w:basedOn w:val="Normal"/>
    <w:uiPriority w:val="99"/>
    <w:rsid w:val="00845F5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E208B"/>
    <w:rPr>
      <w:rFonts w:cs="Times New Roman"/>
      <w:color w:val="0000FF"/>
      <w:u w:val="single"/>
    </w:rPr>
  </w:style>
  <w:style w:type="paragraph" w:customStyle="1" w:styleId="StyleEYBodytextwithparaspaceCentered1">
    <w:name w:val="Style EY Body text (with para space) + Centered1"/>
    <w:basedOn w:val="EYBodytextwithparaspace"/>
    <w:uiPriority w:val="99"/>
    <w:rsid w:val="00883001"/>
    <w:pPr>
      <w:jc w:val="center"/>
    </w:pPr>
    <w:rPr>
      <w:szCs w:val="20"/>
    </w:rPr>
  </w:style>
  <w:style w:type="paragraph" w:customStyle="1" w:styleId="EYBusinessaddress">
    <w:name w:val="EY Business address"/>
    <w:basedOn w:val="EYNormal"/>
    <w:uiPriority w:val="99"/>
    <w:rsid w:val="00F661D3"/>
    <w:pPr>
      <w:spacing w:line="170" w:lineRule="exact"/>
    </w:pPr>
    <w:rPr>
      <w:color w:val="808080"/>
      <w:sz w:val="15"/>
    </w:rPr>
  </w:style>
  <w:style w:type="character" w:customStyle="1" w:styleId="EYBulletedtext1Char">
    <w:name w:val="EY Bulleted text 1 Char"/>
    <w:basedOn w:val="DefaultParagraphFont"/>
    <w:link w:val="EYBulletedtext1"/>
    <w:uiPriority w:val="99"/>
    <w:locked/>
    <w:rsid w:val="00842CB7"/>
    <w:rPr>
      <w:rFonts w:ascii="Arial" w:hAnsi="Arial" w:cs="Times New Roman"/>
      <w:kern w:val="12"/>
      <w:sz w:val="24"/>
      <w:szCs w:val="24"/>
    </w:rPr>
  </w:style>
  <w:style w:type="paragraph" w:customStyle="1" w:styleId="EYBodytextnoparaspace">
    <w:name w:val="EY Body text (no para space)"/>
    <w:basedOn w:val="EYNormal"/>
    <w:uiPriority w:val="99"/>
    <w:rsid w:val="00842CB7"/>
    <w:pPr>
      <w:tabs>
        <w:tab w:val="left" w:pos="907"/>
      </w:tabs>
      <w:spacing w:line="360" w:lineRule="auto"/>
    </w:pPr>
    <w:rPr>
      <w:sz w:val="20"/>
    </w:rPr>
  </w:style>
  <w:style w:type="paragraph" w:customStyle="1" w:styleId="Bullet">
    <w:name w:val="Bullet"/>
    <w:basedOn w:val="EYBulletedtext1"/>
    <w:link w:val="BulletChar"/>
    <w:uiPriority w:val="99"/>
    <w:rsid w:val="00C92991"/>
    <w:pPr>
      <w:tabs>
        <w:tab w:val="left" w:pos="270"/>
      </w:tabs>
      <w:ind w:left="270" w:hanging="270"/>
    </w:pPr>
  </w:style>
  <w:style w:type="character" w:customStyle="1" w:styleId="BulletChar">
    <w:name w:val="Bullet Char"/>
    <w:basedOn w:val="EYBulletedtext1Char"/>
    <w:link w:val="Bullet"/>
    <w:uiPriority w:val="99"/>
    <w:locked/>
    <w:rsid w:val="00C92991"/>
    <w:rPr>
      <w:rFonts w:ascii="Arial" w:hAnsi="Arial" w:cs="Times New Roman"/>
      <w:kern w:val="12"/>
      <w:sz w:val="24"/>
      <w:szCs w:val="24"/>
    </w:rPr>
  </w:style>
  <w:style w:type="paragraph" w:customStyle="1" w:styleId="EYHeading2">
    <w:name w:val="EY Heading 2"/>
    <w:basedOn w:val="Normal"/>
    <w:next w:val="EYBodytextwithparaspace"/>
    <w:link w:val="EYHeading2Char"/>
    <w:uiPriority w:val="99"/>
    <w:rsid w:val="00F00916"/>
    <w:pPr>
      <w:keepNext/>
      <w:suppressAutoHyphens/>
      <w:spacing w:before="120" w:after="120"/>
    </w:pPr>
    <w:rPr>
      <w:b/>
      <w:kern w:val="12"/>
      <w:sz w:val="22"/>
      <w:lang w:val="en-GB"/>
    </w:rPr>
  </w:style>
  <w:style w:type="character" w:customStyle="1" w:styleId="EYHeading2Char">
    <w:name w:val="EY Heading 2 Char"/>
    <w:basedOn w:val="DefaultParagraphFont"/>
    <w:link w:val="EYHeading2"/>
    <w:uiPriority w:val="99"/>
    <w:locked/>
    <w:rsid w:val="00F00916"/>
    <w:rPr>
      <w:rFonts w:ascii="Arial" w:hAnsi="Arial" w:cs="Times New Roman"/>
      <w:b/>
      <w:kern w:val="12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sid w:val="008061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61A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61A7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6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61A7"/>
    <w:rPr>
      <w:rFonts w:ascii="Arial" w:hAnsi="Arial" w:cs="Times New Roman"/>
      <w:b/>
      <w:bCs/>
    </w:rPr>
  </w:style>
  <w:style w:type="paragraph" w:styleId="ListParagraph">
    <w:name w:val="List Paragraph"/>
    <w:basedOn w:val="Normal"/>
    <w:qFormat/>
    <w:rsid w:val="002B5B60"/>
    <w:pPr>
      <w:ind w:left="720"/>
      <w:contextualSpacing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676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678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IRA~1.TAY\AppData\Local\Temp\notesFFF692\EY_A4_eNews_1_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EY_A4_eNews_1_Address.dotx</Template>
  <TotalTime>0</TotalTime>
  <Pages>6</Pages>
  <Words>1621</Words>
  <Characters>9569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Ernst &amp; Young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Tehira Taylor</dc:creator>
  <cp:lastModifiedBy>Lenka Cermakova</cp:lastModifiedBy>
  <cp:revision>2</cp:revision>
  <cp:lastPrinted>2013-10-24T06:56:00Z</cp:lastPrinted>
  <dcterms:created xsi:type="dcterms:W3CDTF">2013-10-24T14:33:00Z</dcterms:created>
  <dcterms:modified xsi:type="dcterms:W3CDTF">2013-10-24T14:33:00Z</dcterms:modified>
</cp:coreProperties>
</file>