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50" w:rsidRPr="00C85C69" w:rsidRDefault="00CA1750" w:rsidP="00193A96">
      <w:pPr>
        <w:jc w:val="center"/>
        <w:rPr>
          <w:rFonts w:ascii="Arial" w:hAnsi="Arial" w:cs="Arial"/>
        </w:rPr>
      </w:pPr>
      <w:bookmarkStart w:id="0" w:name="_GoBack"/>
      <w:bookmarkEnd w:id="0"/>
    </w:p>
    <w:p w:rsidR="00CA1750" w:rsidRPr="001D25FC" w:rsidRDefault="00CA1750" w:rsidP="003247C4">
      <w:pPr>
        <w:spacing w:after="0"/>
        <w:jc w:val="right"/>
        <w:rPr>
          <w:rFonts w:ascii="Arial" w:hAnsi="Arial" w:cs="Arial"/>
        </w:rPr>
      </w:pPr>
      <w:r w:rsidRPr="00840209">
        <w:rPr>
          <w:rFonts w:ascii="Arial" w:hAnsi="Arial" w:cs="Arial"/>
        </w:rPr>
        <w:t xml:space="preserve">Praha </w:t>
      </w:r>
      <w:r w:rsidR="00840209">
        <w:rPr>
          <w:rFonts w:ascii="Arial" w:hAnsi="Arial" w:cs="Arial"/>
        </w:rPr>
        <w:t>28</w:t>
      </w:r>
      <w:r w:rsidRPr="00840209">
        <w:rPr>
          <w:rFonts w:ascii="Arial" w:hAnsi="Arial" w:cs="Arial"/>
        </w:rPr>
        <w:t>. listopadu 2013</w:t>
      </w:r>
    </w:p>
    <w:p w:rsidR="00CA1750" w:rsidRDefault="00CA1750" w:rsidP="001D25FC">
      <w:pPr>
        <w:spacing w:after="0"/>
        <w:rPr>
          <w:rFonts w:ascii="Arial" w:hAnsi="Arial" w:cs="Arial"/>
          <w:b/>
          <w:sz w:val="32"/>
          <w:szCs w:val="32"/>
        </w:rPr>
      </w:pPr>
    </w:p>
    <w:p w:rsidR="00CA1750" w:rsidRPr="006F4D02" w:rsidRDefault="00CA1750" w:rsidP="006F4D02">
      <w:pPr>
        <w:spacing w:after="0"/>
        <w:jc w:val="center"/>
        <w:rPr>
          <w:rFonts w:ascii="Arial" w:hAnsi="Arial" w:cs="Arial"/>
          <w:b/>
          <w:sz w:val="32"/>
          <w:szCs w:val="32"/>
        </w:rPr>
      </w:pPr>
      <w:r>
        <w:rPr>
          <w:rFonts w:ascii="Arial" w:hAnsi="Arial" w:cs="Arial"/>
          <w:b/>
          <w:sz w:val="32"/>
          <w:szCs w:val="32"/>
        </w:rPr>
        <w:t>Sazba daně z příjmů fyzických osob se letos celosvětově zvýšila – opět o 0,3 procentního bodu</w:t>
      </w:r>
    </w:p>
    <w:p w:rsidR="00CA1750" w:rsidRPr="006F4D02" w:rsidRDefault="00CA1750" w:rsidP="00AE126A">
      <w:pPr>
        <w:spacing w:after="0"/>
        <w:rPr>
          <w:rFonts w:ascii="Arial" w:hAnsi="Arial" w:cs="Arial"/>
          <w:b/>
        </w:rPr>
      </w:pPr>
    </w:p>
    <w:p w:rsidR="00CA1750" w:rsidRPr="006F4D02" w:rsidRDefault="00CA1750" w:rsidP="00AE126A">
      <w:pPr>
        <w:spacing w:after="0"/>
        <w:rPr>
          <w:rFonts w:ascii="Arial" w:hAnsi="Arial" w:cs="Arial"/>
          <w:b/>
        </w:rPr>
      </w:pPr>
    </w:p>
    <w:p w:rsidR="00CA1750" w:rsidRPr="007608D5" w:rsidRDefault="00CA1750" w:rsidP="00EA5628">
      <w:pPr>
        <w:spacing w:after="0"/>
        <w:rPr>
          <w:rFonts w:ascii="Arial" w:hAnsi="Arial" w:cs="Arial"/>
        </w:rPr>
      </w:pPr>
      <w:r>
        <w:rPr>
          <w:rFonts w:ascii="Arial" w:hAnsi="Arial" w:cs="Arial"/>
          <w:b/>
        </w:rPr>
        <w:t xml:space="preserve">Již druhý rok po sobě se </w:t>
      </w:r>
      <w:r w:rsidRPr="00655812">
        <w:rPr>
          <w:rFonts w:ascii="Arial" w:hAnsi="Arial" w:cs="Arial"/>
          <w:b/>
        </w:rPr>
        <w:t>průměrná sazba dan</w:t>
      </w:r>
      <w:r>
        <w:rPr>
          <w:rFonts w:ascii="Arial" w:hAnsi="Arial" w:cs="Arial"/>
          <w:b/>
        </w:rPr>
        <w:t>ě</w:t>
      </w:r>
      <w:r w:rsidRPr="00655812">
        <w:rPr>
          <w:rFonts w:ascii="Arial" w:hAnsi="Arial" w:cs="Arial"/>
          <w:b/>
        </w:rPr>
        <w:t xml:space="preserve"> z příjmů </w:t>
      </w:r>
      <w:r>
        <w:rPr>
          <w:rFonts w:ascii="Arial" w:hAnsi="Arial" w:cs="Arial"/>
          <w:b/>
        </w:rPr>
        <w:t xml:space="preserve">fyzických osob </w:t>
      </w:r>
      <w:r w:rsidRPr="00655812">
        <w:rPr>
          <w:rFonts w:ascii="Arial" w:hAnsi="Arial" w:cs="Arial"/>
          <w:b/>
        </w:rPr>
        <w:t xml:space="preserve">celosvětově zvýšila o 0,3 procentního bodu. </w:t>
      </w:r>
      <w:r>
        <w:rPr>
          <w:rFonts w:ascii="Arial" w:hAnsi="Arial" w:cs="Arial"/>
          <w:b/>
        </w:rPr>
        <w:t xml:space="preserve">K navýšení letos přistoupilo celkem devět zemí, což je druhé nejvyšší číslo za posledních deset let. </w:t>
      </w:r>
      <w:r w:rsidRPr="00655812">
        <w:rPr>
          <w:rFonts w:ascii="Arial" w:hAnsi="Arial" w:cs="Arial"/>
          <w:b/>
        </w:rPr>
        <w:t xml:space="preserve">Řada zemí </w:t>
      </w:r>
      <w:r>
        <w:rPr>
          <w:rFonts w:ascii="Arial" w:hAnsi="Arial" w:cs="Arial"/>
          <w:b/>
        </w:rPr>
        <w:t>se</w:t>
      </w:r>
      <w:r w:rsidRPr="00655812">
        <w:rPr>
          <w:rFonts w:ascii="Arial" w:hAnsi="Arial" w:cs="Arial"/>
          <w:b/>
        </w:rPr>
        <w:t xml:space="preserve"> sna</w:t>
      </w:r>
      <w:r>
        <w:rPr>
          <w:rFonts w:ascii="Arial" w:hAnsi="Arial" w:cs="Arial"/>
          <w:b/>
        </w:rPr>
        <w:t>ží</w:t>
      </w:r>
      <w:r w:rsidRPr="00655812">
        <w:rPr>
          <w:rFonts w:ascii="Arial" w:hAnsi="Arial" w:cs="Arial"/>
          <w:b/>
        </w:rPr>
        <w:t xml:space="preserve"> řešit problémy se schodky státních rozpočtů vytváření</w:t>
      </w:r>
      <w:r>
        <w:rPr>
          <w:rFonts w:ascii="Arial" w:hAnsi="Arial" w:cs="Arial"/>
          <w:b/>
        </w:rPr>
        <w:t>m</w:t>
      </w:r>
      <w:r w:rsidRPr="00655812">
        <w:rPr>
          <w:rFonts w:ascii="Arial" w:hAnsi="Arial" w:cs="Arial"/>
          <w:b/>
        </w:rPr>
        <w:t xml:space="preserve"> nových daňových pásem pro subjekty s vysokými příjmy nebo zavádí nové dočasné daně.</w:t>
      </w:r>
      <w:r w:rsidRPr="00344FB5">
        <w:rPr>
          <w:rFonts w:ascii="Arial" w:hAnsi="Arial" w:cs="Arial"/>
          <w:b/>
        </w:rPr>
        <w:t xml:space="preserve"> </w:t>
      </w:r>
      <w:r>
        <w:rPr>
          <w:rFonts w:ascii="Arial" w:hAnsi="Arial" w:cs="Arial"/>
          <w:b/>
        </w:rPr>
        <w:t>Aktuá</w:t>
      </w:r>
      <w:r w:rsidR="00840209">
        <w:rPr>
          <w:rFonts w:ascii="Arial" w:hAnsi="Arial" w:cs="Arial"/>
          <w:b/>
        </w:rPr>
        <w:t xml:space="preserve">lní údaje o daňových sazbách ve </w:t>
      </w:r>
      <w:r>
        <w:rPr>
          <w:rFonts w:ascii="Arial" w:hAnsi="Arial" w:cs="Arial"/>
          <w:b/>
        </w:rPr>
        <w:t xml:space="preserve">130 zemích světa sleduje </w:t>
      </w:r>
      <w:hyperlink r:id="rId8" w:history="1">
        <w:r w:rsidRPr="004564A0">
          <w:rPr>
            <w:rStyle w:val="Hypertextovodkaz"/>
            <w:rFonts w:ascii="Arial" w:hAnsi="Arial" w:cs="Arial"/>
            <w:b/>
          </w:rPr>
          <w:t>webový nástroj celosvětové sítě poradenských společností</w:t>
        </w:r>
        <w:r w:rsidRPr="004564A0">
          <w:rPr>
            <w:rStyle w:val="Hypertextovodkaz"/>
          </w:rPr>
          <w:t xml:space="preserve"> </w:t>
        </w:r>
        <w:r w:rsidRPr="004564A0">
          <w:rPr>
            <w:rStyle w:val="Hypertextovodkaz"/>
            <w:rFonts w:ascii="Arial" w:hAnsi="Arial" w:cs="Arial"/>
            <w:b/>
          </w:rPr>
          <w:t>KPMG Tax rates online</w:t>
        </w:r>
      </w:hyperlink>
      <w:r w:rsidRPr="00655812">
        <w:rPr>
          <w:rFonts w:ascii="Arial" w:hAnsi="Arial" w:cs="Arial"/>
          <w:b/>
        </w:rPr>
        <w:t>.</w:t>
      </w:r>
      <w:r w:rsidRPr="00EA5628">
        <w:rPr>
          <w:rFonts w:ascii="Arial" w:hAnsi="Arial" w:cs="Arial"/>
        </w:rPr>
        <w:t xml:space="preserve"> </w:t>
      </w:r>
      <w:r w:rsidRPr="005E298E">
        <w:rPr>
          <w:rFonts w:ascii="Arial" w:hAnsi="Arial" w:cs="Arial"/>
          <w:b/>
        </w:rPr>
        <w:t xml:space="preserve">Ten umožňuje </w:t>
      </w:r>
      <w:r>
        <w:rPr>
          <w:rFonts w:ascii="Arial" w:hAnsi="Arial" w:cs="Arial"/>
          <w:b/>
        </w:rPr>
        <w:t>srovnávat</w:t>
      </w:r>
      <w:r w:rsidRPr="005E298E">
        <w:rPr>
          <w:rFonts w:ascii="Arial" w:hAnsi="Arial" w:cs="Arial"/>
          <w:b/>
        </w:rPr>
        <w:t xml:space="preserve"> vývoj sazeb dan</w:t>
      </w:r>
      <w:r>
        <w:rPr>
          <w:rFonts w:ascii="Arial" w:hAnsi="Arial" w:cs="Arial"/>
          <w:b/>
        </w:rPr>
        <w:t>ě</w:t>
      </w:r>
      <w:r w:rsidRPr="005E298E">
        <w:rPr>
          <w:rFonts w:ascii="Arial" w:hAnsi="Arial" w:cs="Arial"/>
          <w:b/>
        </w:rPr>
        <w:t xml:space="preserve"> z</w:t>
      </w:r>
      <w:r w:rsidRPr="00A7526E">
        <w:rPr>
          <w:rFonts w:ascii="Arial" w:hAnsi="Arial" w:cs="Arial"/>
          <w:b/>
        </w:rPr>
        <w:t> </w:t>
      </w:r>
      <w:r w:rsidRPr="005E298E">
        <w:rPr>
          <w:rFonts w:ascii="Arial" w:hAnsi="Arial" w:cs="Arial"/>
          <w:b/>
        </w:rPr>
        <w:t>příjmů fyzických osob, korporátních daní i daní nepřímých v</w:t>
      </w:r>
      <w:r w:rsidRPr="00A7526E">
        <w:rPr>
          <w:rFonts w:ascii="Arial" w:hAnsi="Arial" w:cs="Arial"/>
          <w:b/>
        </w:rPr>
        <w:t> </w:t>
      </w:r>
      <w:r w:rsidRPr="005E298E">
        <w:rPr>
          <w:rFonts w:ascii="Arial" w:hAnsi="Arial" w:cs="Arial"/>
          <w:b/>
        </w:rPr>
        <w:t>jednotlivých zemích a vybraných letech.</w:t>
      </w:r>
    </w:p>
    <w:p w:rsidR="00CA1750" w:rsidRPr="00655812" w:rsidRDefault="00CA1750" w:rsidP="00655812">
      <w:pPr>
        <w:spacing w:after="0"/>
        <w:rPr>
          <w:rFonts w:ascii="Arial" w:hAnsi="Arial" w:cs="Arial"/>
          <w:b/>
        </w:rPr>
      </w:pPr>
    </w:p>
    <w:p w:rsidR="00CA1750" w:rsidRPr="00EA5628" w:rsidRDefault="00CA1750" w:rsidP="00A04C19">
      <w:pPr>
        <w:spacing w:after="0"/>
        <w:rPr>
          <w:rFonts w:ascii="Arial" w:hAnsi="Arial" w:cs="Arial"/>
          <w:b/>
        </w:rPr>
      </w:pPr>
      <w:r w:rsidRPr="00EA5628">
        <w:rPr>
          <w:rFonts w:ascii="Arial" w:hAnsi="Arial" w:cs="Arial"/>
          <w:b/>
        </w:rPr>
        <w:t>Nejv</w:t>
      </w:r>
      <w:r>
        <w:rPr>
          <w:rFonts w:ascii="Arial" w:hAnsi="Arial" w:cs="Arial"/>
          <w:b/>
        </w:rPr>
        <w:t>ětší</w:t>
      </w:r>
      <w:r w:rsidRPr="00EA5628">
        <w:rPr>
          <w:rFonts w:ascii="Arial" w:hAnsi="Arial" w:cs="Arial"/>
          <w:b/>
        </w:rPr>
        <w:t xml:space="preserve"> </w:t>
      </w:r>
      <w:r>
        <w:rPr>
          <w:rFonts w:ascii="Arial" w:hAnsi="Arial" w:cs="Arial"/>
          <w:b/>
        </w:rPr>
        <w:t xml:space="preserve">zvýšení daně: ve </w:t>
      </w:r>
      <w:r w:rsidRPr="00EA5628">
        <w:rPr>
          <w:rFonts w:ascii="Arial" w:hAnsi="Arial" w:cs="Arial"/>
          <w:b/>
        </w:rPr>
        <w:t>Slovinsk</w:t>
      </w:r>
      <w:r>
        <w:rPr>
          <w:rFonts w:ascii="Arial" w:hAnsi="Arial" w:cs="Arial"/>
          <w:b/>
        </w:rPr>
        <w:t>u</w:t>
      </w:r>
      <w:r w:rsidRPr="00EA5628">
        <w:rPr>
          <w:rFonts w:ascii="Arial" w:hAnsi="Arial" w:cs="Arial"/>
          <w:b/>
        </w:rPr>
        <w:t>, Egypt</w:t>
      </w:r>
      <w:r>
        <w:rPr>
          <w:rFonts w:ascii="Arial" w:hAnsi="Arial" w:cs="Arial"/>
          <w:b/>
        </w:rPr>
        <w:t>ě</w:t>
      </w:r>
      <w:r w:rsidRPr="00EA5628">
        <w:rPr>
          <w:rFonts w:ascii="Arial" w:hAnsi="Arial" w:cs="Arial"/>
          <w:b/>
        </w:rPr>
        <w:t xml:space="preserve"> a USA </w:t>
      </w:r>
    </w:p>
    <w:p w:rsidR="00CA1750" w:rsidRDefault="00CA1750" w:rsidP="00655812">
      <w:pPr>
        <w:spacing w:after="0"/>
        <w:rPr>
          <w:rFonts w:ascii="Arial" w:hAnsi="Arial" w:cs="Arial"/>
        </w:rPr>
      </w:pPr>
    </w:p>
    <w:p w:rsidR="00CA1750" w:rsidRDefault="00CA1750" w:rsidP="00655812">
      <w:pPr>
        <w:spacing w:after="0"/>
        <w:rPr>
          <w:rFonts w:ascii="Arial" w:hAnsi="Arial" w:cs="Arial"/>
        </w:rPr>
      </w:pPr>
      <w:r w:rsidRPr="00655812">
        <w:rPr>
          <w:rFonts w:ascii="Arial" w:hAnsi="Arial" w:cs="Arial"/>
        </w:rPr>
        <w:t>Nejsledovanější změna sazby dan</w:t>
      </w:r>
      <w:r>
        <w:rPr>
          <w:rFonts w:ascii="Arial" w:hAnsi="Arial" w:cs="Arial"/>
        </w:rPr>
        <w:t>ě z příjmů fyzických osob</w:t>
      </w:r>
      <w:r w:rsidRPr="00655812">
        <w:rPr>
          <w:rFonts w:ascii="Arial" w:hAnsi="Arial" w:cs="Arial"/>
        </w:rPr>
        <w:t xml:space="preserve"> </w:t>
      </w:r>
      <w:r>
        <w:rPr>
          <w:rFonts w:ascii="Arial" w:hAnsi="Arial" w:cs="Arial"/>
        </w:rPr>
        <w:t>letos proběhla</w:t>
      </w:r>
      <w:r w:rsidRPr="00655812">
        <w:rPr>
          <w:rFonts w:ascii="Arial" w:hAnsi="Arial" w:cs="Arial"/>
        </w:rPr>
        <w:t xml:space="preserve"> v USA, kde </w:t>
      </w:r>
      <w:r>
        <w:rPr>
          <w:rFonts w:ascii="Arial" w:hAnsi="Arial" w:cs="Arial"/>
        </w:rPr>
        <w:t>po</w:t>
      </w:r>
      <w:r w:rsidRPr="00655812">
        <w:rPr>
          <w:rFonts w:ascii="Arial" w:hAnsi="Arial" w:cs="Arial"/>
        </w:rPr>
        <w:t xml:space="preserve"> vypršení platnosti snížení daní z dob </w:t>
      </w:r>
      <w:r>
        <w:rPr>
          <w:rFonts w:ascii="Arial" w:hAnsi="Arial" w:cs="Arial"/>
        </w:rPr>
        <w:t>B</w:t>
      </w:r>
      <w:r w:rsidRPr="00655812">
        <w:rPr>
          <w:rFonts w:ascii="Arial" w:hAnsi="Arial" w:cs="Arial"/>
        </w:rPr>
        <w:t xml:space="preserve">ushovy administrativy vzrostla nejvyšší federální sazba z 35 </w:t>
      </w:r>
      <w:r>
        <w:rPr>
          <w:rFonts w:ascii="Arial" w:hAnsi="Arial" w:cs="Arial"/>
        </w:rPr>
        <w:t>procent</w:t>
      </w:r>
      <w:r w:rsidRPr="00655812">
        <w:rPr>
          <w:rFonts w:ascii="Arial" w:hAnsi="Arial" w:cs="Arial"/>
        </w:rPr>
        <w:t xml:space="preserve"> na 39,6 </w:t>
      </w:r>
      <w:r>
        <w:rPr>
          <w:rFonts w:ascii="Arial" w:hAnsi="Arial" w:cs="Arial"/>
        </w:rPr>
        <w:t>procenta</w:t>
      </w:r>
      <w:r w:rsidRPr="00655812">
        <w:rPr>
          <w:rFonts w:ascii="Arial" w:hAnsi="Arial" w:cs="Arial"/>
        </w:rPr>
        <w:t xml:space="preserve">. Co do velikosti změny drží prvenství Slovinsko, kde došlo k nárůstu o </w:t>
      </w:r>
      <w:r>
        <w:rPr>
          <w:rFonts w:ascii="Arial" w:hAnsi="Arial" w:cs="Arial"/>
        </w:rPr>
        <w:t>devět</w:t>
      </w:r>
      <w:r w:rsidRPr="00655812">
        <w:rPr>
          <w:rFonts w:ascii="Arial" w:hAnsi="Arial" w:cs="Arial"/>
        </w:rPr>
        <w:t xml:space="preserve"> procentních bodů </w:t>
      </w:r>
      <w:r>
        <w:rPr>
          <w:rFonts w:ascii="Arial" w:hAnsi="Arial" w:cs="Arial"/>
        </w:rPr>
        <w:t xml:space="preserve">– </w:t>
      </w:r>
      <w:r w:rsidRPr="00655812">
        <w:rPr>
          <w:rFonts w:ascii="Arial" w:hAnsi="Arial" w:cs="Arial"/>
        </w:rPr>
        <w:t xml:space="preserve">z 41 </w:t>
      </w:r>
      <w:r>
        <w:rPr>
          <w:rFonts w:ascii="Arial" w:hAnsi="Arial" w:cs="Arial"/>
        </w:rPr>
        <w:t>procent</w:t>
      </w:r>
      <w:r w:rsidRPr="00655812">
        <w:rPr>
          <w:rFonts w:ascii="Arial" w:hAnsi="Arial" w:cs="Arial"/>
        </w:rPr>
        <w:t xml:space="preserve"> na 50 </w:t>
      </w:r>
      <w:r>
        <w:rPr>
          <w:rFonts w:ascii="Arial" w:hAnsi="Arial" w:cs="Arial"/>
        </w:rPr>
        <w:t>procent</w:t>
      </w:r>
      <w:r w:rsidRPr="00655812">
        <w:rPr>
          <w:rFonts w:ascii="Arial" w:hAnsi="Arial" w:cs="Arial"/>
        </w:rPr>
        <w:t>.</w:t>
      </w:r>
    </w:p>
    <w:p w:rsidR="00CA1750" w:rsidRDefault="00CA1750" w:rsidP="00655812">
      <w:pPr>
        <w:spacing w:after="0"/>
        <w:rPr>
          <w:rFonts w:ascii="Arial" w:hAnsi="Arial" w:cs="Arial"/>
        </w:rPr>
      </w:pPr>
    </w:p>
    <w:p w:rsidR="00CA1750" w:rsidRPr="00A04C19" w:rsidRDefault="00CA1750" w:rsidP="00655812">
      <w:pPr>
        <w:spacing w:after="0"/>
        <w:rPr>
          <w:rFonts w:ascii="Arial" w:hAnsi="Arial" w:cs="Arial"/>
        </w:rPr>
      </w:pPr>
      <w:r w:rsidRPr="00A04C19">
        <w:rPr>
          <w:rFonts w:ascii="Arial" w:hAnsi="Arial" w:cs="Arial"/>
        </w:rPr>
        <w:t xml:space="preserve">Zvýšení </w:t>
      </w:r>
      <w:r w:rsidRPr="005E298E">
        <w:rPr>
          <w:rFonts w:ascii="Arial" w:hAnsi="Arial" w:cs="Arial"/>
        </w:rPr>
        <w:t>daně z</w:t>
      </w:r>
      <w:r w:rsidRPr="00A7526E">
        <w:rPr>
          <w:rFonts w:ascii="Arial" w:hAnsi="Arial" w:cs="Arial"/>
        </w:rPr>
        <w:t> </w:t>
      </w:r>
      <w:r w:rsidRPr="005E298E">
        <w:rPr>
          <w:rFonts w:ascii="Arial" w:hAnsi="Arial" w:cs="Arial"/>
        </w:rPr>
        <w:t xml:space="preserve">příjmů fyzických osob mezi lety </w:t>
      </w:r>
      <w:smartTag w:uri="urn:schemas-microsoft-com:office:smarttags" w:element="metricconverter">
        <w:smartTagPr>
          <w:attr w:name="ProductID" w:val="2012 a"/>
        </w:smartTagPr>
        <w:r w:rsidRPr="005E298E">
          <w:rPr>
            <w:rFonts w:ascii="Arial" w:hAnsi="Arial" w:cs="Arial"/>
          </w:rPr>
          <w:t>2012 a</w:t>
        </w:r>
      </w:smartTag>
      <w:r w:rsidRPr="005E298E">
        <w:rPr>
          <w:rFonts w:ascii="Arial" w:hAnsi="Arial" w:cs="Arial"/>
        </w:rPr>
        <w:t xml:space="preserve"> 2013</w:t>
      </w:r>
      <w:r>
        <w:rPr>
          <w:rFonts w:ascii="Arial" w:hAnsi="Arial" w:cs="Arial"/>
        </w:rPr>
        <w:t>:</w:t>
      </w:r>
    </w:p>
    <w:p w:rsidR="00CA1750" w:rsidRDefault="00CA1750" w:rsidP="00655812">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2051"/>
        <w:gridCol w:w="2051"/>
        <w:gridCol w:w="3358"/>
      </w:tblGrid>
      <w:tr w:rsidR="00CA1750" w:rsidTr="00A04C19">
        <w:tc>
          <w:tcPr>
            <w:tcW w:w="2395" w:type="dxa"/>
          </w:tcPr>
          <w:p w:rsidR="00CA1750" w:rsidRPr="00E93E2F" w:rsidRDefault="00CA1750" w:rsidP="00A04C19">
            <w:pPr>
              <w:spacing w:after="0"/>
              <w:jc w:val="center"/>
              <w:rPr>
                <w:rFonts w:ascii="Arial" w:hAnsi="Arial" w:cs="Arial"/>
                <w:b/>
              </w:rPr>
            </w:pPr>
          </w:p>
        </w:tc>
        <w:tc>
          <w:tcPr>
            <w:tcW w:w="4102" w:type="dxa"/>
            <w:gridSpan w:val="2"/>
          </w:tcPr>
          <w:p w:rsidR="00CA1750" w:rsidRPr="00E93E2F" w:rsidRDefault="00CA1750" w:rsidP="00A04C19">
            <w:pPr>
              <w:spacing w:after="0"/>
              <w:jc w:val="center"/>
              <w:rPr>
                <w:rFonts w:ascii="Arial" w:hAnsi="Arial" w:cs="Arial"/>
                <w:b/>
              </w:rPr>
            </w:pPr>
            <w:r w:rsidRPr="00E93E2F">
              <w:rPr>
                <w:rFonts w:ascii="Arial" w:hAnsi="Arial" w:cs="Arial"/>
                <w:b/>
              </w:rPr>
              <w:t xml:space="preserve">Sazba </w:t>
            </w:r>
            <w:r>
              <w:rPr>
                <w:rFonts w:ascii="Arial" w:hAnsi="Arial" w:cs="Arial"/>
                <w:b/>
              </w:rPr>
              <w:t>v procentech</w:t>
            </w:r>
          </w:p>
        </w:tc>
        <w:tc>
          <w:tcPr>
            <w:tcW w:w="3358" w:type="dxa"/>
          </w:tcPr>
          <w:p w:rsidR="00CA1750" w:rsidRPr="00E93E2F" w:rsidRDefault="00CA1750" w:rsidP="00A04C19">
            <w:pPr>
              <w:spacing w:after="0"/>
              <w:jc w:val="center"/>
              <w:rPr>
                <w:rFonts w:ascii="Arial" w:hAnsi="Arial" w:cs="Arial"/>
                <w:b/>
              </w:rPr>
            </w:pPr>
            <w:r>
              <w:rPr>
                <w:rFonts w:ascii="Arial" w:hAnsi="Arial" w:cs="Arial"/>
                <w:b/>
              </w:rPr>
              <w:t>Nárůst v procentních bodech</w:t>
            </w:r>
          </w:p>
        </w:tc>
      </w:tr>
      <w:tr w:rsidR="00CA1750" w:rsidTr="00A04C19">
        <w:tc>
          <w:tcPr>
            <w:tcW w:w="2395" w:type="dxa"/>
          </w:tcPr>
          <w:p w:rsidR="00CA1750" w:rsidRPr="00E93E2F" w:rsidRDefault="00CA1750" w:rsidP="00A04C19">
            <w:pPr>
              <w:spacing w:after="0"/>
              <w:jc w:val="center"/>
              <w:rPr>
                <w:rFonts w:ascii="Arial" w:hAnsi="Arial" w:cs="Arial"/>
                <w:b/>
              </w:rPr>
            </w:pPr>
            <w:r w:rsidRPr="00E93E2F">
              <w:rPr>
                <w:rFonts w:ascii="Arial" w:hAnsi="Arial" w:cs="Arial"/>
                <w:b/>
              </w:rPr>
              <w:t>Země</w:t>
            </w:r>
          </w:p>
        </w:tc>
        <w:tc>
          <w:tcPr>
            <w:tcW w:w="2051" w:type="dxa"/>
          </w:tcPr>
          <w:p w:rsidR="00CA1750" w:rsidRPr="00E93E2F" w:rsidRDefault="00CA1750" w:rsidP="00A04C19">
            <w:pPr>
              <w:spacing w:after="0"/>
              <w:jc w:val="center"/>
              <w:rPr>
                <w:rFonts w:ascii="Arial" w:hAnsi="Arial" w:cs="Arial"/>
                <w:b/>
              </w:rPr>
            </w:pPr>
            <w:r w:rsidRPr="00E93E2F">
              <w:rPr>
                <w:rFonts w:ascii="Arial" w:hAnsi="Arial" w:cs="Arial"/>
                <w:b/>
              </w:rPr>
              <w:t>2012</w:t>
            </w:r>
          </w:p>
        </w:tc>
        <w:tc>
          <w:tcPr>
            <w:tcW w:w="2051" w:type="dxa"/>
          </w:tcPr>
          <w:p w:rsidR="00CA1750" w:rsidRPr="00E93E2F" w:rsidRDefault="00CA1750" w:rsidP="00A04C19">
            <w:pPr>
              <w:spacing w:after="0"/>
              <w:jc w:val="center"/>
              <w:rPr>
                <w:rFonts w:ascii="Arial" w:hAnsi="Arial" w:cs="Arial"/>
                <w:b/>
              </w:rPr>
            </w:pPr>
            <w:r w:rsidRPr="00E93E2F">
              <w:rPr>
                <w:rFonts w:ascii="Arial" w:hAnsi="Arial" w:cs="Arial"/>
                <w:b/>
              </w:rPr>
              <w:t>2013</w:t>
            </w:r>
          </w:p>
        </w:tc>
        <w:tc>
          <w:tcPr>
            <w:tcW w:w="3358" w:type="dxa"/>
          </w:tcPr>
          <w:p w:rsidR="00CA1750" w:rsidRPr="00E93E2F" w:rsidDel="00EA5628" w:rsidRDefault="00CA1750" w:rsidP="00A04C19">
            <w:pPr>
              <w:spacing w:after="0"/>
              <w:jc w:val="center"/>
              <w:rPr>
                <w:rFonts w:ascii="Arial" w:hAnsi="Arial" w:cs="Arial"/>
                <w:b/>
              </w:rPr>
            </w:pPr>
          </w:p>
        </w:tc>
      </w:tr>
      <w:tr w:rsidR="00CA1750" w:rsidTr="00A04C19">
        <w:tc>
          <w:tcPr>
            <w:tcW w:w="2395" w:type="dxa"/>
          </w:tcPr>
          <w:p w:rsidR="00CA1750" w:rsidRPr="00E93E2F" w:rsidRDefault="00CA1750" w:rsidP="00FB3D17">
            <w:pPr>
              <w:spacing w:after="0"/>
              <w:rPr>
                <w:rFonts w:ascii="Arial" w:hAnsi="Arial" w:cs="Arial"/>
              </w:rPr>
            </w:pPr>
            <w:r w:rsidRPr="00E93E2F">
              <w:rPr>
                <w:rFonts w:ascii="Arial" w:hAnsi="Arial" w:cs="Arial"/>
              </w:rPr>
              <w:t>Slovinsko</w:t>
            </w:r>
          </w:p>
        </w:tc>
        <w:tc>
          <w:tcPr>
            <w:tcW w:w="2051" w:type="dxa"/>
          </w:tcPr>
          <w:p w:rsidR="00CA1750" w:rsidRPr="00E93E2F" w:rsidRDefault="00CA1750" w:rsidP="00FB3D17">
            <w:pPr>
              <w:spacing w:after="0"/>
              <w:jc w:val="right"/>
              <w:rPr>
                <w:rFonts w:ascii="Arial" w:hAnsi="Arial" w:cs="Arial"/>
              </w:rPr>
            </w:pPr>
            <w:r w:rsidRPr="00E93E2F">
              <w:rPr>
                <w:rFonts w:ascii="Arial" w:hAnsi="Arial" w:cs="Arial"/>
              </w:rPr>
              <w:t>41</w:t>
            </w:r>
            <w:r>
              <w:rPr>
                <w:rFonts w:ascii="Arial" w:hAnsi="Arial" w:cs="Arial"/>
              </w:rPr>
              <w:t>,00</w:t>
            </w:r>
          </w:p>
        </w:tc>
        <w:tc>
          <w:tcPr>
            <w:tcW w:w="2051" w:type="dxa"/>
          </w:tcPr>
          <w:p w:rsidR="00CA1750" w:rsidRPr="00E93E2F" w:rsidRDefault="00CA1750" w:rsidP="00FB3D17">
            <w:pPr>
              <w:spacing w:after="0"/>
              <w:jc w:val="right"/>
              <w:rPr>
                <w:rFonts w:ascii="Arial" w:hAnsi="Arial" w:cs="Arial"/>
              </w:rPr>
            </w:pPr>
            <w:r w:rsidRPr="00E93E2F">
              <w:rPr>
                <w:rFonts w:ascii="Arial" w:hAnsi="Arial" w:cs="Arial"/>
              </w:rPr>
              <w:t>50</w:t>
            </w:r>
            <w:r>
              <w:rPr>
                <w:rFonts w:ascii="Arial" w:hAnsi="Arial" w:cs="Arial"/>
              </w:rPr>
              <w:t>,00</w:t>
            </w:r>
          </w:p>
        </w:tc>
        <w:tc>
          <w:tcPr>
            <w:tcW w:w="3358" w:type="dxa"/>
          </w:tcPr>
          <w:p w:rsidR="00CA1750" w:rsidRPr="00E93E2F" w:rsidRDefault="00CA1750" w:rsidP="00FB3D17">
            <w:pPr>
              <w:spacing w:after="0"/>
              <w:jc w:val="right"/>
              <w:rPr>
                <w:rFonts w:ascii="Arial" w:hAnsi="Arial" w:cs="Arial"/>
              </w:rPr>
            </w:pPr>
            <w:r>
              <w:rPr>
                <w:rFonts w:ascii="Arial" w:hAnsi="Arial" w:cs="Arial"/>
              </w:rPr>
              <w:t>9,00</w:t>
            </w:r>
          </w:p>
        </w:tc>
      </w:tr>
      <w:tr w:rsidR="00CA1750" w:rsidTr="00A04C19">
        <w:tc>
          <w:tcPr>
            <w:tcW w:w="2395" w:type="dxa"/>
          </w:tcPr>
          <w:p w:rsidR="00CA1750" w:rsidRPr="00E93E2F" w:rsidRDefault="00CA1750" w:rsidP="00A04C19">
            <w:pPr>
              <w:spacing w:after="0"/>
              <w:rPr>
                <w:rFonts w:ascii="Arial" w:hAnsi="Arial" w:cs="Arial"/>
              </w:rPr>
            </w:pPr>
            <w:r w:rsidRPr="00E93E2F">
              <w:rPr>
                <w:rFonts w:ascii="Arial" w:hAnsi="Arial" w:cs="Arial"/>
              </w:rPr>
              <w:t>Egypt</w:t>
            </w:r>
          </w:p>
        </w:tc>
        <w:tc>
          <w:tcPr>
            <w:tcW w:w="2051" w:type="dxa"/>
          </w:tcPr>
          <w:p w:rsidR="00CA1750" w:rsidRPr="00E93E2F" w:rsidRDefault="00CA1750" w:rsidP="00A04C19">
            <w:pPr>
              <w:spacing w:after="0"/>
              <w:jc w:val="right"/>
              <w:rPr>
                <w:rFonts w:ascii="Arial" w:hAnsi="Arial" w:cs="Arial"/>
              </w:rPr>
            </w:pPr>
            <w:r w:rsidRPr="00E93E2F">
              <w:rPr>
                <w:rFonts w:ascii="Arial" w:hAnsi="Arial" w:cs="Arial"/>
              </w:rPr>
              <w:t>20</w:t>
            </w:r>
            <w:r>
              <w:rPr>
                <w:rFonts w:ascii="Arial" w:hAnsi="Arial" w:cs="Arial"/>
              </w:rPr>
              <w:t>,00</w:t>
            </w:r>
          </w:p>
        </w:tc>
        <w:tc>
          <w:tcPr>
            <w:tcW w:w="2051" w:type="dxa"/>
          </w:tcPr>
          <w:p w:rsidR="00CA1750" w:rsidRPr="00E93E2F" w:rsidRDefault="00CA1750" w:rsidP="00A04C19">
            <w:pPr>
              <w:spacing w:after="0"/>
              <w:jc w:val="right"/>
              <w:rPr>
                <w:rFonts w:ascii="Arial" w:hAnsi="Arial" w:cs="Arial"/>
              </w:rPr>
            </w:pPr>
            <w:r w:rsidRPr="00E93E2F">
              <w:rPr>
                <w:rFonts w:ascii="Arial" w:hAnsi="Arial" w:cs="Arial"/>
              </w:rPr>
              <w:t xml:space="preserve">   25</w:t>
            </w:r>
            <w:r>
              <w:rPr>
                <w:rFonts w:ascii="Arial" w:hAnsi="Arial" w:cs="Arial"/>
              </w:rPr>
              <w:t>,00</w:t>
            </w:r>
          </w:p>
        </w:tc>
        <w:tc>
          <w:tcPr>
            <w:tcW w:w="3358" w:type="dxa"/>
          </w:tcPr>
          <w:p w:rsidR="00CA1750" w:rsidRPr="00E93E2F" w:rsidRDefault="00CA1750" w:rsidP="00A04C19">
            <w:pPr>
              <w:spacing w:after="0"/>
              <w:jc w:val="right"/>
              <w:rPr>
                <w:rFonts w:ascii="Arial" w:hAnsi="Arial" w:cs="Arial"/>
              </w:rPr>
            </w:pPr>
            <w:r>
              <w:rPr>
                <w:rFonts w:ascii="Arial" w:hAnsi="Arial" w:cs="Arial"/>
              </w:rPr>
              <w:t>5,00</w:t>
            </w:r>
          </w:p>
        </w:tc>
      </w:tr>
      <w:tr w:rsidR="00CA1750" w:rsidTr="000D71A2">
        <w:tc>
          <w:tcPr>
            <w:tcW w:w="2395" w:type="dxa"/>
          </w:tcPr>
          <w:p w:rsidR="00CA1750" w:rsidRPr="00E93E2F" w:rsidRDefault="00CA1750" w:rsidP="000D71A2">
            <w:pPr>
              <w:spacing w:after="0"/>
              <w:rPr>
                <w:rFonts w:ascii="Arial" w:hAnsi="Arial" w:cs="Arial"/>
              </w:rPr>
            </w:pPr>
            <w:r w:rsidRPr="00E93E2F">
              <w:rPr>
                <w:rFonts w:ascii="Arial" w:hAnsi="Arial" w:cs="Arial"/>
              </w:rPr>
              <w:t xml:space="preserve">USA </w:t>
            </w:r>
          </w:p>
        </w:tc>
        <w:tc>
          <w:tcPr>
            <w:tcW w:w="2051" w:type="dxa"/>
          </w:tcPr>
          <w:p w:rsidR="00CA1750" w:rsidRPr="00E93E2F" w:rsidRDefault="00CA1750" w:rsidP="000D71A2">
            <w:pPr>
              <w:spacing w:after="0"/>
              <w:jc w:val="right"/>
              <w:rPr>
                <w:rFonts w:ascii="Arial" w:hAnsi="Arial" w:cs="Arial"/>
              </w:rPr>
            </w:pPr>
            <w:r w:rsidRPr="00E93E2F">
              <w:rPr>
                <w:rFonts w:ascii="Arial" w:hAnsi="Arial" w:cs="Arial"/>
              </w:rPr>
              <w:t>35</w:t>
            </w:r>
            <w:r>
              <w:rPr>
                <w:rFonts w:ascii="Arial" w:hAnsi="Arial" w:cs="Arial"/>
              </w:rPr>
              <w:t>,00</w:t>
            </w:r>
          </w:p>
        </w:tc>
        <w:tc>
          <w:tcPr>
            <w:tcW w:w="2051" w:type="dxa"/>
          </w:tcPr>
          <w:p w:rsidR="00CA1750" w:rsidRPr="00E93E2F" w:rsidRDefault="00CA1750" w:rsidP="000D71A2">
            <w:pPr>
              <w:spacing w:after="0"/>
              <w:jc w:val="right"/>
              <w:rPr>
                <w:rFonts w:ascii="Arial" w:hAnsi="Arial" w:cs="Arial"/>
              </w:rPr>
            </w:pPr>
            <w:r w:rsidRPr="00E93E2F">
              <w:rPr>
                <w:rFonts w:ascii="Arial" w:hAnsi="Arial" w:cs="Arial"/>
              </w:rPr>
              <w:t>39,6</w:t>
            </w:r>
            <w:r>
              <w:rPr>
                <w:rFonts w:ascii="Arial" w:hAnsi="Arial" w:cs="Arial"/>
              </w:rPr>
              <w:t>0</w:t>
            </w:r>
          </w:p>
        </w:tc>
        <w:tc>
          <w:tcPr>
            <w:tcW w:w="3358" w:type="dxa"/>
          </w:tcPr>
          <w:p w:rsidR="00CA1750" w:rsidRPr="00E93E2F" w:rsidRDefault="00CA1750" w:rsidP="000D71A2">
            <w:pPr>
              <w:spacing w:after="0"/>
              <w:jc w:val="right"/>
              <w:rPr>
                <w:rFonts w:ascii="Arial" w:hAnsi="Arial" w:cs="Arial"/>
              </w:rPr>
            </w:pPr>
            <w:r>
              <w:rPr>
                <w:rFonts w:ascii="Arial" w:hAnsi="Arial" w:cs="Arial"/>
              </w:rPr>
              <w:t>4,60</w:t>
            </w:r>
          </w:p>
        </w:tc>
      </w:tr>
      <w:tr w:rsidR="00CA1750" w:rsidTr="00CF72F9">
        <w:tc>
          <w:tcPr>
            <w:tcW w:w="2395" w:type="dxa"/>
          </w:tcPr>
          <w:p w:rsidR="00CA1750" w:rsidRPr="00E93E2F" w:rsidRDefault="00CA1750" w:rsidP="00CF72F9">
            <w:pPr>
              <w:spacing w:after="0"/>
              <w:rPr>
                <w:rFonts w:ascii="Arial" w:hAnsi="Arial" w:cs="Arial"/>
              </w:rPr>
            </w:pPr>
            <w:r w:rsidRPr="00E93E2F">
              <w:rPr>
                <w:rFonts w:ascii="Arial" w:hAnsi="Arial" w:cs="Arial"/>
              </w:rPr>
              <w:t>Lucembursko</w:t>
            </w:r>
          </w:p>
        </w:tc>
        <w:tc>
          <w:tcPr>
            <w:tcW w:w="2051" w:type="dxa"/>
          </w:tcPr>
          <w:p w:rsidR="00CA1750" w:rsidRPr="00E93E2F" w:rsidRDefault="00CA1750" w:rsidP="00CF72F9">
            <w:pPr>
              <w:spacing w:after="0"/>
              <w:jc w:val="right"/>
              <w:rPr>
                <w:rFonts w:ascii="Arial" w:hAnsi="Arial" w:cs="Arial"/>
              </w:rPr>
            </w:pPr>
            <w:r w:rsidRPr="00E93E2F">
              <w:rPr>
                <w:rFonts w:ascii="Arial" w:hAnsi="Arial" w:cs="Arial"/>
              </w:rPr>
              <w:t>41,34</w:t>
            </w:r>
          </w:p>
        </w:tc>
        <w:tc>
          <w:tcPr>
            <w:tcW w:w="2051" w:type="dxa"/>
          </w:tcPr>
          <w:p w:rsidR="00CA1750" w:rsidRPr="00E93E2F" w:rsidRDefault="00CA1750" w:rsidP="00CF72F9">
            <w:pPr>
              <w:spacing w:after="0"/>
              <w:jc w:val="right"/>
              <w:rPr>
                <w:rFonts w:ascii="Arial" w:hAnsi="Arial" w:cs="Arial"/>
              </w:rPr>
            </w:pPr>
            <w:r w:rsidRPr="00E93E2F">
              <w:rPr>
                <w:rFonts w:ascii="Arial" w:hAnsi="Arial" w:cs="Arial"/>
              </w:rPr>
              <w:t>43,6</w:t>
            </w:r>
            <w:r>
              <w:rPr>
                <w:rFonts w:ascii="Arial" w:hAnsi="Arial" w:cs="Arial"/>
              </w:rPr>
              <w:t>0</w:t>
            </w:r>
          </w:p>
        </w:tc>
        <w:tc>
          <w:tcPr>
            <w:tcW w:w="3358" w:type="dxa"/>
          </w:tcPr>
          <w:p w:rsidR="00CA1750" w:rsidRPr="00E93E2F" w:rsidRDefault="00CA1750" w:rsidP="00CF72F9">
            <w:pPr>
              <w:spacing w:after="0"/>
              <w:jc w:val="right"/>
              <w:rPr>
                <w:rFonts w:ascii="Arial" w:hAnsi="Arial" w:cs="Arial"/>
              </w:rPr>
            </w:pPr>
            <w:r>
              <w:rPr>
                <w:rFonts w:ascii="Arial" w:hAnsi="Arial" w:cs="Arial"/>
              </w:rPr>
              <w:t>2,26</w:t>
            </w:r>
          </w:p>
        </w:tc>
      </w:tr>
      <w:tr w:rsidR="00CA1750" w:rsidTr="00C42FF9">
        <w:tc>
          <w:tcPr>
            <w:tcW w:w="2395" w:type="dxa"/>
          </w:tcPr>
          <w:p w:rsidR="00CA1750" w:rsidRPr="00E93E2F" w:rsidRDefault="00CA1750" w:rsidP="00C42FF9">
            <w:pPr>
              <w:spacing w:after="0"/>
              <w:rPr>
                <w:rFonts w:ascii="Arial" w:hAnsi="Arial" w:cs="Arial"/>
              </w:rPr>
            </w:pPr>
            <w:r w:rsidRPr="00E93E2F">
              <w:rPr>
                <w:rFonts w:ascii="Arial" w:hAnsi="Arial" w:cs="Arial"/>
              </w:rPr>
              <w:t>Finsko</w:t>
            </w:r>
          </w:p>
        </w:tc>
        <w:tc>
          <w:tcPr>
            <w:tcW w:w="2051" w:type="dxa"/>
          </w:tcPr>
          <w:p w:rsidR="00CA1750" w:rsidRPr="00E93E2F" w:rsidRDefault="00CA1750" w:rsidP="00C42FF9">
            <w:pPr>
              <w:spacing w:after="0"/>
              <w:jc w:val="right"/>
              <w:rPr>
                <w:rFonts w:ascii="Arial" w:hAnsi="Arial" w:cs="Arial"/>
              </w:rPr>
            </w:pPr>
            <w:r w:rsidRPr="00E93E2F">
              <w:rPr>
                <w:rFonts w:ascii="Arial" w:hAnsi="Arial" w:cs="Arial"/>
              </w:rPr>
              <w:t>49</w:t>
            </w:r>
            <w:r>
              <w:rPr>
                <w:rFonts w:ascii="Arial" w:hAnsi="Arial" w:cs="Arial"/>
              </w:rPr>
              <w:t>,00</w:t>
            </w:r>
          </w:p>
        </w:tc>
        <w:tc>
          <w:tcPr>
            <w:tcW w:w="2051" w:type="dxa"/>
          </w:tcPr>
          <w:p w:rsidR="00CA1750" w:rsidRPr="00E93E2F" w:rsidRDefault="00CA1750" w:rsidP="00C42FF9">
            <w:pPr>
              <w:spacing w:after="0"/>
              <w:jc w:val="right"/>
              <w:rPr>
                <w:rFonts w:ascii="Arial" w:hAnsi="Arial" w:cs="Arial"/>
              </w:rPr>
            </w:pPr>
            <w:r w:rsidRPr="00E93E2F">
              <w:rPr>
                <w:rFonts w:ascii="Arial" w:hAnsi="Arial" w:cs="Arial"/>
              </w:rPr>
              <w:t>51,13</w:t>
            </w:r>
          </w:p>
        </w:tc>
        <w:tc>
          <w:tcPr>
            <w:tcW w:w="3358" w:type="dxa"/>
          </w:tcPr>
          <w:p w:rsidR="00CA1750" w:rsidRPr="00E93E2F" w:rsidRDefault="00CA1750" w:rsidP="00C42FF9">
            <w:pPr>
              <w:spacing w:after="0"/>
              <w:jc w:val="right"/>
              <w:rPr>
                <w:rFonts w:ascii="Arial" w:hAnsi="Arial" w:cs="Arial"/>
              </w:rPr>
            </w:pPr>
            <w:r>
              <w:rPr>
                <w:rFonts w:ascii="Arial" w:hAnsi="Arial" w:cs="Arial"/>
              </w:rPr>
              <w:t>2,13</w:t>
            </w:r>
          </w:p>
        </w:tc>
      </w:tr>
      <w:tr w:rsidR="00CA1750" w:rsidTr="00083545">
        <w:tc>
          <w:tcPr>
            <w:tcW w:w="2395" w:type="dxa"/>
          </w:tcPr>
          <w:p w:rsidR="00CA1750" w:rsidRPr="00E93E2F" w:rsidRDefault="00CA1750" w:rsidP="00083545">
            <w:pPr>
              <w:spacing w:after="0"/>
              <w:rPr>
                <w:rFonts w:ascii="Arial" w:hAnsi="Arial" w:cs="Arial"/>
              </w:rPr>
            </w:pPr>
            <w:r w:rsidRPr="00E93E2F">
              <w:rPr>
                <w:rFonts w:ascii="Arial" w:hAnsi="Arial" w:cs="Arial"/>
              </w:rPr>
              <w:t>Izrael</w:t>
            </w:r>
          </w:p>
        </w:tc>
        <w:tc>
          <w:tcPr>
            <w:tcW w:w="2051" w:type="dxa"/>
          </w:tcPr>
          <w:p w:rsidR="00CA1750" w:rsidRPr="00E93E2F" w:rsidRDefault="00CA1750" w:rsidP="00083545">
            <w:pPr>
              <w:spacing w:after="0"/>
              <w:jc w:val="right"/>
              <w:rPr>
                <w:rFonts w:ascii="Arial" w:hAnsi="Arial" w:cs="Arial"/>
              </w:rPr>
            </w:pPr>
            <w:r w:rsidRPr="00E93E2F">
              <w:rPr>
                <w:rFonts w:ascii="Arial" w:hAnsi="Arial" w:cs="Arial"/>
              </w:rPr>
              <w:t>48</w:t>
            </w:r>
            <w:r>
              <w:rPr>
                <w:rFonts w:ascii="Arial" w:hAnsi="Arial" w:cs="Arial"/>
              </w:rPr>
              <w:t>,00</w:t>
            </w:r>
          </w:p>
        </w:tc>
        <w:tc>
          <w:tcPr>
            <w:tcW w:w="2051" w:type="dxa"/>
          </w:tcPr>
          <w:p w:rsidR="00CA1750" w:rsidRPr="00E93E2F" w:rsidRDefault="00CA1750" w:rsidP="00083545">
            <w:pPr>
              <w:spacing w:after="0"/>
              <w:jc w:val="right"/>
              <w:rPr>
                <w:rFonts w:ascii="Arial" w:hAnsi="Arial" w:cs="Arial"/>
              </w:rPr>
            </w:pPr>
            <w:r w:rsidRPr="00E93E2F">
              <w:rPr>
                <w:rFonts w:ascii="Arial" w:hAnsi="Arial" w:cs="Arial"/>
              </w:rPr>
              <w:t>50</w:t>
            </w:r>
            <w:r>
              <w:rPr>
                <w:rFonts w:ascii="Arial" w:hAnsi="Arial" w:cs="Arial"/>
              </w:rPr>
              <w:t>,00</w:t>
            </w:r>
          </w:p>
        </w:tc>
        <w:tc>
          <w:tcPr>
            <w:tcW w:w="3358" w:type="dxa"/>
          </w:tcPr>
          <w:p w:rsidR="00CA1750" w:rsidRPr="00E93E2F" w:rsidRDefault="00CA1750" w:rsidP="00083545">
            <w:pPr>
              <w:spacing w:after="0"/>
              <w:jc w:val="right"/>
              <w:rPr>
                <w:rFonts w:ascii="Arial" w:hAnsi="Arial" w:cs="Arial"/>
              </w:rPr>
            </w:pPr>
            <w:r>
              <w:rPr>
                <w:rFonts w:ascii="Arial" w:hAnsi="Arial" w:cs="Arial"/>
              </w:rPr>
              <w:t>2,00</w:t>
            </w:r>
          </w:p>
        </w:tc>
      </w:tr>
      <w:tr w:rsidR="00CA1750" w:rsidTr="00F9049E">
        <w:tc>
          <w:tcPr>
            <w:tcW w:w="2395" w:type="dxa"/>
          </w:tcPr>
          <w:p w:rsidR="00CA1750" w:rsidRPr="00E93E2F" w:rsidRDefault="00CA1750" w:rsidP="00F9049E">
            <w:pPr>
              <w:spacing w:after="0"/>
              <w:rPr>
                <w:rFonts w:ascii="Arial" w:hAnsi="Arial" w:cs="Arial"/>
              </w:rPr>
            </w:pPr>
            <w:r w:rsidRPr="00E93E2F">
              <w:rPr>
                <w:rFonts w:ascii="Arial" w:hAnsi="Arial" w:cs="Arial"/>
              </w:rPr>
              <w:t>Portugalsko</w:t>
            </w:r>
          </w:p>
        </w:tc>
        <w:tc>
          <w:tcPr>
            <w:tcW w:w="2051" w:type="dxa"/>
          </w:tcPr>
          <w:p w:rsidR="00CA1750" w:rsidRPr="00E93E2F" w:rsidRDefault="00CA1750" w:rsidP="00F9049E">
            <w:pPr>
              <w:spacing w:after="0"/>
              <w:jc w:val="right"/>
              <w:rPr>
                <w:rFonts w:ascii="Arial" w:hAnsi="Arial" w:cs="Arial"/>
              </w:rPr>
            </w:pPr>
            <w:r w:rsidRPr="00E93E2F">
              <w:rPr>
                <w:rFonts w:ascii="Arial" w:hAnsi="Arial" w:cs="Arial"/>
              </w:rPr>
              <w:t>46,5</w:t>
            </w:r>
            <w:r>
              <w:rPr>
                <w:rFonts w:ascii="Arial" w:hAnsi="Arial" w:cs="Arial"/>
              </w:rPr>
              <w:t>0</w:t>
            </w:r>
          </w:p>
        </w:tc>
        <w:tc>
          <w:tcPr>
            <w:tcW w:w="2051" w:type="dxa"/>
          </w:tcPr>
          <w:p w:rsidR="00CA1750" w:rsidRPr="00E93E2F" w:rsidRDefault="00CA1750" w:rsidP="00F9049E">
            <w:pPr>
              <w:spacing w:after="0"/>
              <w:jc w:val="right"/>
              <w:rPr>
                <w:rFonts w:ascii="Arial" w:hAnsi="Arial" w:cs="Arial"/>
              </w:rPr>
            </w:pPr>
            <w:r w:rsidRPr="00E93E2F">
              <w:rPr>
                <w:rFonts w:ascii="Arial" w:hAnsi="Arial" w:cs="Arial"/>
              </w:rPr>
              <w:t>48</w:t>
            </w:r>
            <w:r>
              <w:rPr>
                <w:rFonts w:ascii="Arial" w:hAnsi="Arial" w:cs="Arial"/>
              </w:rPr>
              <w:t>,00</w:t>
            </w:r>
          </w:p>
        </w:tc>
        <w:tc>
          <w:tcPr>
            <w:tcW w:w="3358" w:type="dxa"/>
          </w:tcPr>
          <w:p w:rsidR="00CA1750" w:rsidRPr="00E93E2F" w:rsidRDefault="00CA1750" w:rsidP="00F9049E">
            <w:pPr>
              <w:spacing w:after="0"/>
              <w:jc w:val="right"/>
              <w:rPr>
                <w:rFonts w:ascii="Arial" w:hAnsi="Arial" w:cs="Arial"/>
              </w:rPr>
            </w:pPr>
            <w:r>
              <w:rPr>
                <w:rFonts w:ascii="Arial" w:hAnsi="Arial" w:cs="Arial"/>
              </w:rPr>
              <w:t>1,50</w:t>
            </w:r>
          </w:p>
        </w:tc>
      </w:tr>
      <w:tr w:rsidR="00CA1750" w:rsidTr="00F2326C">
        <w:tc>
          <w:tcPr>
            <w:tcW w:w="2395" w:type="dxa"/>
          </w:tcPr>
          <w:p w:rsidR="00CA1750" w:rsidRPr="00E93E2F" w:rsidRDefault="00CA1750" w:rsidP="00F2326C">
            <w:pPr>
              <w:spacing w:after="0"/>
              <w:rPr>
                <w:rFonts w:ascii="Arial" w:hAnsi="Arial" w:cs="Arial"/>
              </w:rPr>
            </w:pPr>
            <w:r w:rsidRPr="00E93E2F">
              <w:rPr>
                <w:rFonts w:ascii="Arial" w:hAnsi="Arial" w:cs="Arial"/>
              </w:rPr>
              <w:t>Arménie</w:t>
            </w:r>
          </w:p>
        </w:tc>
        <w:tc>
          <w:tcPr>
            <w:tcW w:w="2051" w:type="dxa"/>
          </w:tcPr>
          <w:p w:rsidR="00CA1750" w:rsidRPr="00E93E2F" w:rsidRDefault="00CA1750" w:rsidP="00F2326C">
            <w:pPr>
              <w:spacing w:after="0"/>
              <w:jc w:val="right"/>
              <w:rPr>
                <w:rFonts w:ascii="Arial" w:hAnsi="Arial" w:cs="Arial"/>
              </w:rPr>
            </w:pPr>
            <w:r w:rsidRPr="00E93E2F">
              <w:rPr>
                <w:rFonts w:ascii="Arial" w:hAnsi="Arial" w:cs="Arial"/>
              </w:rPr>
              <w:t>25</w:t>
            </w:r>
            <w:r>
              <w:rPr>
                <w:rFonts w:ascii="Arial" w:hAnsi="Arial" w:cs="Arial"/>
              </w:rPr>
              <w:t>,00</w:t>
            </w:r>
          </w:p>
        </w:tc>
        <w:tc>
          <w:tcPr>
            <w:tcW w:w="2051" w:type="dxa"/>
          </w:tcPr>
          <w:p w:rsidR="00CA1750" w:rsidRPr="00E93E2F" w:rsidRDefault="00CA1750" w:rsidP="00F2326C">
            <w:pPr>
              <w:spacing w:after="0"/>
              <w:jc w:val="right"/>
              <w:rPr>
                <w:rFonts w:ascii="Arial" w:hAnsi="Arial" w:cs="Arial"/>
              </w:rPr>
            </w:pPr>
            <w:r w:rsidRPr="00E93E2F">
              <w:rPr>
                <w:rFonts w:ascii="Arial" w:hAnsi="Arial" w:cs="Arial"/>
              </w:rPr>
              <w:t>26</w:t>
            </w:r>
            <w:r>
              <w:rPr>
                <w:rFonts w:ascii="Arial" w:hAnsi="Arial" w:cs="Arial"/>
              </w:rPr>
              <w:t>,00</w:t>
            </w:r>
          </w:p>
        </w:tc>
        <w:tc>
          <w:tcPr>
            <w:tcW w:w="3358" w:type="dxa"/>
          </w:tcPr>
          <w:p w:rsidR="00CA1750" w:rsidRPr="00E93E2F" w:rsidRDefault="00CA1750" w:rsidP="00F2326C">
            <w:pPr>
              <w:spacing w:after="0"/>
              <w:jc w:val="right"/>
              <w:rPr>
                <w:rFonts w:ascii="Arial" w:hAnsi="Arial" w:cs="Arial"/>
              </w:rPr>
            </w:pPr>
            <w:r>
              <w:rPr>
                <w:rFonts w:ascii="Arial" w:hAnsi="Arial" w:cs="Arial"/>
              </w:rPr>
              <w:t>1,00</w:t>
            </w:r>
          </w:p>
        </w:tc>
      </w:tr>
      <w:tr w:rsidR="00CA1750" w:rsidTr="00E75926">
        <w:tc>
          <w:tcPr>
            <w:tcW w:w="2395" w:type="dxa"/>
          </w:tcPr>
          <w:p w:rsidR="00CA1750" w:rsidRPr="00E93E2F" w:rsidRDefault="00CA1750" w:rsidP="00E75926">
            <w:pPr>
              <w:spacing w:after="0"/>
              <w:rPr>
                <w:rFonts w:ascii="Arial" w:hAnsi="Arial" w:cs="Arial"/>
              </w:rPr>
            </w:pPr>
            <w:r w:rsidRPr="00E93E2F">
              <w:rPr>
                <w:rFonts w:ascii="Arial" w:hAnsi="Arial" w:cs="Arial"/>
              </w:rPr>
              <w:t>Dánsko</w:t>
            </w:r>
          </w:p>
        </w:tc>
        <w:tc>
          <w:tcPr>
            <w:tcW w:w="2051" w:type="dxa"/>
          </w:tcPr>
          <w:p w:rsidR="00CA1750" w:rsidRPr="00E93E2F" w:rsidRDefault="00CA1750" w:rsidP="00E75926">
            <w:pPr>
              <w:spacing w:after="0"/>
              <w:jc w:val="right"/>
              <w:rPr>
                <w:rFonts w:ascii="Arial" w:hAnsi="Arial" w:cs="Arial"/>
              </w:rPr>
            </w:pPr>
            <w:r w:rsidRPr="00E93E2F">
              <w:rPr>
                <w:rFonts w:ascii="Arial" w:hAnsi="Arial" w:cs="Arial"/>
              </w:rPr>
              <w:t>55,38</w:t>
            </w:r>
          </w:p>
        </w:tc>
        <w:tc>
          <w:tcPr>
            <w:tcW w:w="2051" w:type="dxa"/>
          </w:tcPr>
          <w:p w:rsidR="00CA1750" w:rsidRPr="00E93E2F" w:rsidRDefault="00CA1750" w:rsidP="00E75926">
            <w:pPr>
              <w:spacing w:after="0"/>
              <w:jc w:val="right"/>
              <w:rPr>
                <w:rFonts w:ascii="Arial" w:hAnsi="Arial" w:cs="Arial"/>
              </w:rPr>
            </w:pPr>
            <w:r w:rsidRPr="00E93E2F">
              <w:rPr>
                <w:rFonts w:ascii="Arial" w:hAnsi="Arial" w:cs="Arial"/>
              </w:rPr>
              <w:t>55,56</w:t>
            </w:r>
          </w:p>
        </w:tc>
        <w:tc>
          <w:tcPr>
            <w:tcW w:w="3358" w:type="dxa"/>
          </w:tcPr>
          <w:p w:rsidR="00CA1750" w:rsidRPr="00E93E2F" w:rsidRDefault="00CA1750" w:rsidP="00E75926">
            <w:pPr>
              <w:spacing w:after="0"/>
              <w:jc w:val="right"/>
              <w:rPr>
                <w:rFonts w:ascii="Arial" w:hAnsi="Arial" w:cs="Arial"/>
              </w:rPr>
            </w:pPr>
            <w:r>
              <w:rPr>
                <w:rFonts w:ascii="Arial" w:hAnsi="Arial" w:cs="Arial"/>
              </w:rPr>
              <w:t>0,18</w:t>
            </w:r>
          </w:p>
        </w:tc>
      </w:tr>
    </w:tbl>
    <w:p w:rsidR="00CA1750" w:rsidRPr="00655812" w:rsidRDefault="00CA1750" w:rsidP="00A04C19">
      <w:pPr>
        <w:spacing w:after="0"/>
        <w:rPr>
          <w:rFonts w:ascii="Arial" w:hAnsi="Arial" w:cs="Arial"/>
        </w:rPr>
      </w:pPr>
      <w:r w:rsidRPr="00655812">
        <w:rPr>
          <w:rFonts w:ascii="Arial" w:hAnsi="Arial" w:cs="Arial"/>
        </w:rPr>
        <w:tab/>
      </w:r>
      <w:r w:rsidRPr="00655812">
        <w:rPr>
          <w:rFonts w:ascii="Arial" w:hAnsi="Arial" w:cs="Arial"/>
        </w:rPr>
        <w:tab/>
      </w:r>
    </w:p>
    <w:p w:rsidR="00CA1750" w:rsidRDefault="00CA1750" w:rsidP="00655812">
      <w:pPr>
        <w:spacing w:after="0"/>
        <w:rPr>
          <w:rFonts w:ascii="Arial" w:hAnsi="Arial" w:cs="Arial"/>
        </w:rPr>
      </w:pPr>
    </w:p>
    <w:p w:rsidR="00CA1750" w:rsidRDefault="00CA1750" w:rsidP="00655812">
      <w:pPr>
        <w:spacing w:after="0"/>
        <w:rPr>
          <w:rFonts w:ascii="Arial" w:hAnsi="Arial" w:cs="Arial"/>
          <w:b/>
        </w:rPr>
      </w:pPr>
      <w:r w:rsidRPr="005E298E">
        <w:rPr>
          <w:rFonts w:ascii="Arial" w:hAnsi="Arial" w:cs="Arial"/>
          <w:b/>
        </w:rPr>
        <w:t>Česká republika zdanila vyšší příjmy</w:t>
      </w:r>
    </w:p>
    <w:p w:rsidR="00CA1750" w:rsidRPr="005E298E" w:rsidRDefault="00CA1750" w:rsidP="00655812">
      <w:pPr>
        <w:spacing w:after="0"/>
        <w:rPr>
          <w:rFonts w:ascii="Arial" w:hAnsi="Arial" w:cs="Arial"/>
          <w:b/>
        </w:rPr>
      </w:pPr>
    </w:p>
    <w:p w:rsidR="00CA1750" w:rsidRDefault="00CA1750" w:rsidP="00655812">
      <w:pPr>
        <w:spacing w:after="0"/>
        <w:rPr>
          <w:rFonts w:ascii="Arial" w:hAnsi="Arial" w:cs="Arial"/>
        </w:rPr>
      </w:pPr>
      <w:r>
        <w:rPr>
          <w:rFonts w:ascii="Arial" w:hAnsi="Arial" w:cs="Arial"/>
        </w:rPr>
        <w:t xml:space="preserve">Česká republika zavedla novou dočasnou daň pro </w:t>
      </w:r>
      <w:r w:rsidRPr="00655812">
        <w:rPr>
          <w:rFonts w:ascii="Arial" w:hAnsi="Arial" w:cs="Arial"/>
        </w:rPr>
        <w:t>osoby s vysokými příjmy. T</w:t>
      </w:r>
      <w:r>
        <w:rPr>
          <w:rFonts w:ascii="Arial" w:hAnsi="Arial" w:cs="Arial"/>
        </w:rPr>
        <w:t>zv.</w:t>
      </w:r>
      <w:r w:rsidRPr="00655812">
        <w:rPr>
          <w:rFonts w:ascii="Arial" w:hAnsi="Arial" w:cs="Arial"/>
        </w:rPr>
        <w:t xml:space="preserve"> solidární </w:t>
      </w:r>
      <w:r>
        <w:rPr>
          <w:rFonts w:ascii="Arial" w:hAnsi="Arial" w:cs="Arial"/>
        </w:rPr>
        <w:t>zvýšení daně</w:t>
      </w:r>
      <w:r w:rsidRPr="00655812">
        <w:rPr>
          <w:rFonts w:ascii="Arial" w:hAnsi="Arial" w:cs="Arial"/>
        </w:rPr>
        <w:t xml:space="preserve"> činí </w:t>
      </w:r>
      <w:r>
        <w:rPr>
          <w:rFonts w:ascii="Arial" w:hAnsi="Arial" w:cs="Arial"/>
        </w:rPr>
        <w:t>sedm procent</w:t>
      </w:r>
      <w:r w:rsidRPr="00655812">
        <w:rPr>
          <w:rFonts w:ascii="Arial" w:hAnsi="Arial" w:cs="Arial"/>
        </w:rPr>
        <w:t xml:space="preserve"> a uplatňuje se u příjmů přesahujících 1 242 432 </w:t>
      </w:r>
      <w:r>
        <w:rPr>
          <w:rFonts w:ascii="Arial" w:hAnsi="Arial" w:cs="Arial"/>
        </w:rPr>
        <w:t xml:space="preserve">korun ročně, tj. 103 536 korun měsíčně </w:t>
      </w:r>
      <w:r w:rsidRPr="00E4694F">
        <w:rPr>
          <w:rFonts w:ascii="Arial" w:hAnsi="Arial" w:cs="Arial"/>
        </w:rPr>
        <w:t>(</w:t>
      </w:r>
      <w:r>
        <w:rPr>
          <w:rFonts w:ascii="Arial" w:hAnsi="Arial" w:cs="Arial"/>
        </w:rPr>
        <w:t xml:space="preserve">tato </w:t>
      </w:r>
      <w:r w:rsidRPr="00E4694F">
        <w:rPr>
          <w:rFonts w:ascii="Arial" w:hAnsi="Arial" w:cs="Arial"/>
        </w:rPr>
        <w:t xml:space="preserve">částka </w:t>
      </w:r>
      <w:r>
        <w:rPr>
          <w:rFonts w:ascii="Arial" w:hAnsi="Arial" w:cs="Arial"/>
        </w:rPr>
        <w:t xml:space="preserve">je </w:t>
      </w:r>
      <w:r w:rsidRPr="00E4694F">
        <w:rPr>
          <w:rFonts w:ascii="Arial" w:hAnsi="Arial" w:cs="Arial"/>
        </w:rPr>
        <w:t>stanovená pro rok 2013</w:t>
      </w:r>
      <w:r>
        <w:rPr>
          <w:rFonts w:ascii="Arial" w:hAnsi="Arial" w:cs="Arial"/>
        </w:rPr>
        <w:t xml:space="preserve"> a</w:t>
      </w:r>
      <w:r w:rsidRPr="00E4694F">
        <w:rPr>
          <w:rFonts w:ascii="Arial" w:hAnsi="Arial" w:cs="Arial"/>
        </w:rPr>
        <w:t xml:space="preserve"> každoročně </w:t>
      </w:r>
      <w:r>
        <w:rPr>
          <w:rFonts w:ascii="Arial" w:hAnsi="Arial" w:cs="Arial"/>
        </w:rPr>
        <w:t xml:space="preserve">se </w:t>
      </w:r>
      <w:r w:rsidRPr="00E4694F">
        <w:rPr>
          <w:rFonts w:ascii="Arial" w:hAnsi="Arial" w:cs="Arial"/>
        </w:rPr>
        <w:t xml:space="preserve">upravuje). Zavedením </w:t>
      </w:r>
      <w:r w:rsidRPr="00E4694F">
        <w:rPr>
          <w:rFonts w:ascii="Arial" w:hAnsi="Arial" w:cs="Arial"/>
        </w:rPr>
        <w:lastRenderedPageBreak/>
        <w:t>solidárního zvýšení daně bylo v České republice po předchozích pěti letech fungování rovné 15</w:t>
      </w:r>
      <w:r>
        <w:rPr>
          <w:rFonts w:ascii="Arial" w:hAnsi="Arial" w:cs="Arial"/>
        </w:rPr>
        <w:t>procentní</w:t>
      </w:r>
      <w:r w:rsidRPr="00E4694F">
        <w:rPr>
          <w:rFonts w:ascii="Arial" w:hAnsi="Arial" w:cs="Arial"/>
        </w:rPr>
        <w:t xml:space="preserve"> daně</w:t>
      </w:r>
      <w:r>
        <w:rPr>
          <w:rFonts w:ascii="Arial" w:hAnsi="Arial" w:cs="Arial"/>
        </w:rPr>
        <w:t xml:space="preserve"> prakticky zavedeno </w:t>
      </w:r>
      <w:r w:rsidRPr="00E4694F">
        <w:rPr>
          <w:rFonts w:ascii="Arial" w:hAnsi="Arial" w:cs="Arial"/>
        </w:rPr>
        <w:t xml:space="preserve">druhé daňové pásmo. </w:t>
      </w:r>
    </w:p>
    <w:p w:rsidR="00CA1750" w:rsidRDefault="00CA1750" w:rsidP="00655812">
      <w:pPr>
        <w:spacing w:after="0"/>
        <w:rPr>
          <w:rFonts w:ascii="Arial" w:hAnsi="Arial" w:cs="Arial"/>
        </w:rPr>
      </w:pPr>
    </w:p>
    <w:p w:rsidR="00CA1750" w:rsidRPr="00655812" w:rsidRDefault="00CA1750" w:rsidP="00655812">
      <w:pPr>
        <w:spacing w:after="0"/>
        <w:rPr>
          <w:rFonts w:ascii="Arial" w:hAnsi="Arial" w:cs="Arial"/>
        </w:rPr>
      </w:pPr>
      <w:r>
        <w:rPr>
          <w:rFonts w:ascii="Arial" w:hAnsi="Arial" w:cs="Arial"/>
        </w:rPr>
        <w:t>„</w:t>
      </w:r>
      <w:r w:rsidRPr="00E4694F">
        <w:rPr>
          <w:rFonts w:ascii="Arial" w:hAnsi="Arial" w:cs="Arial"/>
        </w:rPr>
        <w:t>Dle vyjádření Ministerstva financí se solidární daň v České republice týká zhruba 80 000 osob. Je tudíž otázkou</w:t>
      </w:r>
      <w:r>
        <w:rPr>
          <w:rFonts w:ascii="Arial" w:hAnsi="Arial" w:cs="Arial"/>
        </w:rPr>
        <w:t>,</w:t>
      </w:r>
      <w:r w:rsidRPr="00E4694F">
        <w:rPr>
          <w:rFonts w:ascii="Arial" w:hAnsi="Arial" w:cs="Arial"/>
        </w:rPr>
        <w:t xml:space="preserve"> zda dodatečný výběr daně prostřednictvím tohoto nástroje splňuje očekávání státu</w:t>
      </w:r>
      <w:r>
        <w:rPr>
          <w:rFonts w:ascii="Arial" w:hAnsi="Arial" w:cs="Arial"/>
        </w:rPr>
        <w:t>,</w:t>
      </w:r>
      <w:r w:rsidRPr="00E4694F">
        <w:rPr>
          <w:rFonts w:ascii="Arial" w:hAnsi="Arial" w:cs="Arial"/>
        </w:rPr>
        <w:t xml:space="preserve"> nebo se jednalo spíše o gesto politických stran proklamující</w:t>
      </w:r>
      <w:r>
        <w:rPr>
          <w:rFonts w:ascii="Arial" w:hAnsi="Arial" w:cs="Arial"/>
        </w:rPr>
        <w:t>ch</w:t>
      </w:r>
      <w:r w:rsidRPr="00E4694F">
        <w:rPr>
          <w:rFonts w:ascii="Arial" w:hAnsi="Arial" w:cs="Arial"/>
        </w:rPr>
        <w:t xml:space="preserve"> vyšší zdanění </w:t>
      </w:r>
      <w:r>
        <w:rPr>
          <w:rFonts w:ascii="Arial" w:hAnsi="Arial" w:cs="Arial"/>
        </w:rPr>
        <w:t>‚</w:t>
      </w:r>
      <w:r w:rsidRPr="00E4694F">
        <w:rPr>
          <w:rFonts w:ascii="Arial" w:hAnsi="Arial" w:cs="Arial"/>
        </w:rPr>
        <w:t>bohatých</w:t>
      </w:r>
      <w:r>
        <w:rPr>
          <w:rFonts w:ascii="Arial" w:hAnsi="Arial" w:cs="Arial"/>
        </w:rPr>
        <w:t>‘</w:t>
      </w:r>
      <w:r w:rsidRPr="00E4694F">
        <w:rPr>
          <w:rFonts w:ascii="Arial" w:hAnsi="Arial" w:cs="Arial"/>
        </w:rPr>
        <w:t>. Solidární daň byla původně zavedena na přechodné období do roku 2015, kdy měla vstoupit v platnost nová legislativa ohledně jednoho inkasního místa</w:t>
      </w:r>
      <w:r>
        <w:rPr>
          <w:rFonts w:ascii="Arial" w:hAnsi="Arial" w:cs="Arial"/>
        </w:rPr>
        <w:t>,</w:t>
      </w:r>
      <w:r w:rsidRPr="00E4694F">
        <w:rPr>
          <w:rFonts w:ascii="Arial" w:hAnsi="Arial" w:cs="Arial"/>
        </w:rPr>
        <w:t xml:space="preserve"> zahrnující rozsáhlé daňové změny. Prozatímní vyjádření zástupců možné budoucí vládní koalice však spíše inklinují k ponechání zdanění fyzických osob tak</w:t>
      </w:r>
      <w:r>
        <w:rPr>
          <w:rFonts w:ascii="Arial" w:hAnsi="Arial" w:cs="Arial"/>
        </w:rPr>
        <w:t>,</w:t>
      </w:r>
      <w:r w:rsidRPr="00E4694F">
        <w:rPr>
          <w:rFonts w:ascii="Arial" w:hAnsi="Arial" w:cs="Arial"/>
        </w:rPr>
        <w:t xml:space="preserve"> jak je, včetně solidární daně minimálně do roku 2016</w:t>
      </w:r>
      <w:r>
        <w:rPr>
          <w:rFonts w:ascii="Arial" w:hAnsi="Arial" w:cs="Arial"/>
        </w:rPr>
        <w:t xml:space="preserve">,“ komentuje situaci v Česku </w:t>
      </w:r>
      <w:hyperlink r:id="rId9" w:history="1">
        <w:r w:rsidRPr="00197037">
          <w:rPr>
            <w:rStyle w:val="Hypertextovodkaz"/>
            <w:rFonts w:ascii="Arial" w:hAnsi="Arial" w:cs="Arial"/>
            <w:b/>
          </w:rPr>
          <w:t>Jana Bartyzalová, Partner, Daňové poradenství, KPMG Česká republika</w:t>
        </w:r>
      </w:hyperlink>
      <w:r>
        <w:rPr>
          <w:rFonts w:ascii="Arial" w:hAnsi="Arial" w:cs="Arial"/>
        </w:rPr>
        <w:t>.</w:t>
      </w:r>
    </w:p>
    <w:p w:rsidR="00CA1750" w:rsidRDefault="00CA1750" w:rsidP="00655812">
      <w:pPr>
        <w:spacing w:after="0"/>
        <w:rPr>
          <w:rFonts w:ascii="Arial" w:hAnsi="Arial" w:cs="Arial"/>
        </w:rPr>
      </w:pPr>
    </w:p>
    <w:p w:rsidR="00CA1750" w:rsidRPr="001417D1" w:rsidRDefault="00CA1750" w:rsidP="00A04C19">
      <w:pPr>
        <w:spacing w:after="0"/>
        <w:rPr>
          <w:rFonts w:ascii="Arial" w:hAnsi="Arial" w:cs="Arial"/>
          <w:b/>
        </w:rPr>
      </w:pPr>
      <w:r w:rsidRPr="001417D1">
        <w:rPr>
          <w:rFonts w:ascii="Arial" w:hAnsi="Arial" w:cs="Arial"/>
          <w:b/>
        </w:rPr>
        <w:t>Nejv</w:t>
      </w:r>
      <w:r>
        <w:rPr>
          <w:rFonts w:ascii="Arial" w:hAnsi="Arial" w:cs="Arial"/>
          <w:b/>
        </w:rPr>
        <w:t>ětší pokles</w:t>
      </w:r>
      <w:r w:rsidRPr="001417D1">
        <w:rPr>
          <w:rFonts w:ascii="Arial" w:hAnsi="Arial" w:cs="Arial"/>
          <w:b/>
        </w:rPr>
        <w:t xml:space="preserve"> daně</w:t>
      </w:r>
      <w:r>
        <w:rPr>
          <w:rFonts w:ascii="Arial" w:hAnsi="Arial" w:cs="Arial"/>
          <w:b/>
        </w:rPr>
        <w:t xml:space="preserve">: </w:t>
      </w:r>
      <w:r w:rsidRPr="001417D1">
        <w:rPr>
          <w:rFonts w:ascii="Arial" w:hAnsi="Arial" w:cs="Arial"/>
          <w:b/>
        </w:rPr>
        <w:t>Velk</w:t>
      </w:r>
      <w:r>
        <w:rPr>
          <w:rFonts w:ascii="Arial" w:hAnsi="Arial" w:cs="Arial"/>
          <w:b/>
        </w:rPr>
        <w:t>á</w:t>
      </w:r>
      <w:r w:rsidRPr="001417D1">
        <w:rPr>
          <w:rFonts w:ascii="Arial" w:hAnsi="Arial" w:cs="Arial"/>
          <w:b/>
        </w:rPr>
        <w:t xml:space="preserve"> Británi</w:t>
      </w:r>
      <w:r>
        <w:rPr>
          <w:rFonts w:ascii="Arial" w:hAnsi="Arial" w:cs="Arial"/>
          <w:b/>
        </w:rPr>
        <w:t>e</w:t>
      </w:r>
      <w:r w:rsidRPr="001417D1">
        <w:rPr>
          <w:rFonts w:ascii="Arial" w:hAnsi="Arial" w:cs="Arial"/>
          <w:b/>
        </w:rPr>
        <w:t xml:space="preserve"> a Řeck</w:t>
      </w:r>
      <w:r>
        <w:rPr>
          <w:rFonts w:ascii="Arial" w:hAnsi="Arial" w:cs="Arial"/>
          <w:b/>
        </w:rPr>
        <w:t>o</w:t>
      </w:r>
      <w:r w:rsidRPr="001417D1">
        <w:rPr>
          <w:rFonts w:ascii="Arial" w:hAnsi="Arial" w:cs="Arial"/>
          <w:b/>
        </w:rPr>
        <w:t xml:space="preserve"> </w:t>
      </w:r>
    </w:p>
    <w:p w:rsidR="00CA1750" w:rsidRDefault="00CA1750" w:rsidP="00655812">
      <w:pPr>
        <w:spacing w:after="0"/>
        <w:rPr>
          <w:rFonts w:ascii="Arial" w:hAnsi="Arial" w:cs="Arial"/>
        </w:rPr>
      </w:pPr>
    </w:p>
    <w:p w:rsidR="00CA1750" w:rsidRDefault="00CA1750" w:rsidP="00FB356D">
      <w:pPr>
        <w:spacing w:after="0"/>
        <w:rPr>
          <w:rFonts w:ascii="Arial" w:hAnsi="Arial" w:cs="Arial"/>
        </w:rPr>
      </w:pPr>
      <w:r w:rsidRPr="00655812">
        <w:rPr>
          <w:rFonts w:ascii="Arial" w:hAnsi="Arial" w:cs="Arial"/>
        </w:rPr>
        <w:t xml:space="preserve">K nejmarkantnějšímu poklesu </w:t>
      </w:r>
      <w:r>
        <w:rPr>
          <w:rFonts w:ascii="Arial" w:hAnsi="Arial" w:cs="Arial"/>
        </w:rPr>
        <w:t>daně</w:t>
      </w:r>
      <w:r w:rsidRPr="00655812">
        <w:rPr>
          <w:rFonts w:ascii="Arial" w:hAnsi="Arial" w:cs="Arial"/>
        </w:rPr>
        <w:t xml:space="preserve"> </w:t>
      </w:r>
      <w:r>
        <w:rPr>
          <w:rFonts w:ascii="Arial" w:hAnsi="Arial" w:cs="Arial"/>
        </w:rPr>
        <w:t xml:space="preserve">z příjmů fyzických osob </w:t>
      </w:r>
      <w:r w:rsidRPr="00655812">
        <w:rPr>
          <w:rFonts w:ascii="Arial" w:hAnsi="Arial" w:cs="Arial"/>
        </w:rPr>
        <w:t xml:space="preserve">došlo ve Velké Británii, kde </w:t>
      </w:r>
      <w:r>
        <w:rPr>
          <w:rFonts w:ascii="Arial" w:hAnsi="Arial" w:cs="Arial"/>
        </w:rPr>
        <w:t>se</w:t>
      </w:r>
      <w:r w:rsidRPr="00655812">
        <w:rPr>
          <w:rFonts w:ascii="Arial" w:hAnsi="Arial" w:cs="Arial"/>
        </w:rPr>
        <w:t xml:space="preserve"> od </w:t>
      </w:r>
      <w:r>
        <w:rPr>
          <w:rFonts w:ascii="Arial" w:hAnsi="Arial" w:cs="Arial"/>
        </w:rPr>
        <w:t xml:space="preserve">letošního </w:t>
      </w:r>
      <w:r w:rsidRPr="00655812">
        <w:rPr>
          <w:rFonts w:ascii="Arial" w:hAnsi="Arial" w:cs="Arial"/>
        </w:rPr>
        <w:t>dubna sníž</w:t>
      </w:r>
      <w:r>
        <w:rPr>
          <w:rFonts w:ascii="Arial" w:hAnsi="Arial" w:cs="Arial"/>
        </w:rPr>
        <w:t>ila</w:t>
      </w:r>
      <w:r w:rsidRPr="00655812">
        <w:rPr>
          <w:rFonts w:ascii="Arial" w:hAnsi="Arial" w:cs="Arial"/>
        </w:rPr>
        <w:t xml:space="preserve"> nejvyšší sazba z 50 </w:t>
      </w:r>
      <w:r>
        <w:rPr>
          <w:rFonts w:ascii="Arial" w:hAnsi="Arial" w:cs="Arial"/>
        </w:rPr>
        <w:t>procent</w:t>
      </w:r>
      <w:r w:rsidRPr="00655812">
        <w:rPr>
          <w:rFonts w:ascii="Arial" w:hAnsi="Arial" w:cs="Arial"/>
        </w:rPr>
        <w:t xml:space="preserve"> na 45 </w:t>
      </w:r>
      <w:r>
        <w:rPr>
          <w:rFonts w:ascii="Arial" w:hAnsi="Arial" w:cs="Arial"/>
        </w:rPr>
        <w:t>procent</w:t>
      </w:r>
      <w:r w:rsidRPr="00655812">
        <w:rPr>
          <w:rFonts w:ascii="Arial" w:hAnsi="Arial" w:cs="Arial"/>
        </w:rPr>
        <w:t xml:space="preserve">. </w:t>
      </w:r>
      <w:r>
        <w:rPr>
          <w:rFonts w:ascii="Arial" w:hAnsi="Arial" w:cs="Arial"/>
        </w:rPr>
        <w:t>B</w:t>
      </w:r>
      <w:r w:rsidRPr="00655812">
        <w:rPr>
          <w:rFonts w:ascii="Arial" w:hAnsi="Arial" w:cs="Arial"/>
        </w:rPr>
        <w:t xml:space="preserve">ritská 50procentní sazba </w:t>
      </w:r>
      <w:r>
        <w:rPr>
          <w:rFonts w:ascii="Arial" w:hAnsi="Arial" w:cs="Arial"/>
        </w:rPr>
        <w:t>byla b</w:t>
      </w:r>
      <w:r w:rsidRPr="00655812">
        <w:rPr>
          <w:rFonts w:ascii="Arial" w:hAnsi="Arial" w:cs="Arial"/>
        </w:rPr>
        <w:t xml:space="preserve">ěhem tří let své existence </w:t>
      </w:r>
      <w:r>
        <w:rPr>
          <w:rFonts w:ascii="Arial" w:hAnsi="Arial" w:cs="Arial"/>
        </w:rPr>
        <w:t>velmi</w:t>
      </w:r>
      <w:r w:rsidRPr="00655812">
        <w:rPr>
          <w:rFonts w:ascii="Arial" w:hAnsi="Arial" w:cs="Arial"/>
        </w:rPr>
        <w:t xml:space="preserve"> kritizována za to, že přispívá k odchodu osob s vysokými příjmy d</w:t>
      </w:r>
      <w:r>
        <w:rPr>
          <w:rFonts w:ascii="Arial" w:hAnsi="Arial" w:cs="Arial"/>
        </w:rPr>
        <w:t xml:space="preserve">o zahraničí a brání podnikání. </w:t>
      </w:r>
      <w:r w:rsidRPr="00655812">
        <w:rPr>
          <w:rFonts w:ascii="Arial" w:hAnsi="Arial" w:cs="Arial"/>
        </w:rPr>
        <w:t xml:space="preserve">S obdobnou kritikou i zájmem médií se setkal </w:t>
      </w:r>
      <w:r>
        <w:rPr>
          <w:rFonts w:ascii="Arial" w:hAnsi="Arial" w:cs="Arial"/>
        </w:rPr>
        <w:t xml:space="preserve">francouzský </w:t>
      </w:r>
      <w:r w:rsidRPr="00655812">
        <w:rPr>
          <w:rFonts w:ascii="Arial" w:hAnsi="Arial" w:cs="Arial"/>
        </w:rPr>
        <w:t>návrh na zavedení 75procentní daňové sazby pro fyzické osoby s příjmy nad mil</w:t>
      </w:r>
      <w:r>
        <w:rPr>
          <w:rFonts w:ascii="Arial" w:hAnsi="Arial" w:cs="Arial"/>
        </w:rPr>
        <w:t>ion</w:t>
      </w:r>
      <w:r w:rsidRPr="00655812">
        <w:rPr>
          <w:rFonts w:ascii="Arial" w:hAnsi="Arial" w:cs="Arial"/>
        </w:rPr>
        <w:t xml:space="preserve"> </w:t>
      </w:r>
      <w:r>
        <w:rPr>
          <w:rFonts w:ascii="Arial" w:hAnsi="Arial" w:cs="Arial"/>
        </w:rPr>
        <w:t>eur</w:t>
      </w:r>
      <w:r w:rsidRPr="00655812">
        <w:rPr>
          <w:rFonts w:ascii="Arial" w:hAnsi="Arial" w:cs="Arial"/>
        </w:rPr>
        <w:t xml:space="preserve">, </w:t>
      </w:r>
      <w:r>
        <w:rPr>
          <w:rFonts w:ascii="Arial" w:hAnsi="Arial" w:cs="Arial"/>
        </w:rPr>
        <w:t xml:space="preserve">který </w:t>
      </w:r>
      <w:r w:rsidRPr="00655812">
        <w:rPr>
          <w:rFonts w:ascii="Arial" w:hAnsi="Arial" w:cs="Arial"/>
        </w:rPr>
        <w:t>předlož</w:t>
      </w:r>
      <w:r>
        <w:rPr>
          <w:rFonts w:ascii="Arial" w:hAnsi="Arial" w:cs="Arial"/>
        </w:rPr>
        <w:t>il</w:t>
      </w:r>
      <w:r w:rsidRPr="00655812">
        <w:rPr>
          <w:rFonts w:ascii="Arial" w:hAnsi="Arial" w:cs="Arial"/>
        </w:rPr>
        <w:t xml:space="preserve"> </w:t>
      </w:r>
      <w:r>
        <w:rPr>
          <w:rFonts w:ascii="Arial" w:hAnsi="Arial" w:cs="Arial"/>
        </w:rPr>
        <w:t>prezident François Holland</w:t>
      </w:r>
      <w:r w:rsidRPr="00655812">
        <w:rPr>
          <w:rFonts w:ascii="Arial" w:hAnsi="Arial" w:cs="Arial"/>
        </w:rPr>
        <w:t xml:space="preserve">. </w:t>
      </w:r>
      <w:r>
        <w:rPr>
          <w:rFonts w:ascii="Arial" w:hAnsi="Arial" w:cs="Arial"/>
        </w:rPr>
        <w:t>F</w:t>
      </w:r>
      <w:r w:rsidRPr="00655812">
        <w:rPr>
          <w:rFonts w:ascii="Arial" w:hAnsi="Arial" w:cs="Arial"/>
        </w:rPr>
        <w:t xml:space="preserve">rancouzský ústavní soud však </w:t>
      </w:r>
      <w:r>
        <w:rPr>
          <w:rFonts w:ascii="Arial" w:hAnsi="Arial" w:cs="Arial"/>
        </w:rPr>
        <w:t>v</w:t>
      </w:r>
      <w:r w:rsidRPr="00655812">
        <w:rPr>
          <w:rFonts w:ascii="Arial" w:hAnsi="Arial" w:cs="Arial"/>
        </w:rPr>
        <w:t xml:space="preserve"> prosinci 2012</w:t>
      </w:r>
      <w:r>
        <w:rPr>
          <w:rFonts w:ascii="Arial" w:hAnsi="Arial" w:cs="Arial"/>
        </w:rPr>
        <w:t xml:space="preserve"> </w:t>
      </w:r>
      <w:r w:rsidRPr="00655812">
        <w:rPr>
          <w:rFonts w:ascii="Arial" w:hAnsi="Arial" w:cs="Arial"/>
        </w:rPr>
        <w:t>rozhodl</w:t>
      </w:r>
      <w:r>
        <w:rPr>
          <w:rFonts w:ascii="Arial" w:hAnsi="Arial" w:cs="Arial"/>
        </w:rPr>
        <w:t>, že je taková sazba</w:t>
      </w:r>
      <w:r w:rsidRPr="00655812">
        <w:rPr>
          <w:rFonts w:ascii="Arial" w:hAnsi="Arial" w:cs="Arial"/>
        </w:rPr>
        <w:t xml:space="preserve"> protiústavní. </w:t>
      </w:r>
    </w:p>
    <w:p w:rsidR="00CA1750" w:rsidRDefault="00CA1750" w:rsidP="003E33F1">
      <w:pPr>
        <w:spacing w:after="0"/>
        <w:rPr>
          <w:rFonts w:ascii="Arial" w:hAnsi="Arial" w:cs="Arial"/>
        </w:rPr>
      </w:pPr>
    </w:p>
    <w:p w:rsidR="00CA1750" w:rsidRPr="00A04C19" w:rsidRDefault="00CA1750" w:rsidP="00A04C19">
      <w:pPr>
        <w:spacing w:after="0"/>
        <w:rPr>
          <w:rFonts w:ascii="Arial" w:hAnsi="Arial" w:cs="Arial"/>
        </w:rPr>
      </w:pPr>
      <w:r>
        <w:rPr>
          <w:rFonts w:ascii="Arial" w:hAnsi="Arial" w:cs="Arial"/>
        </w:rPr>
        <w:t>Snížení</w:t>
      </w:r>
      <w:r w:rsidRPr="00A04C19">
        <w:rPr>
          <w:rFonts w:ascii="Arial" w:hAnsi="Arial" w:cs="Arial"/>
        </w:rPr>
        <w:t xml:space="preserve"> daně z příjmů fyzických osob mezi lety </w:t>
      </w:r>
      <w:smartTag w:uri="urn:schemas-microsoft-com:office:smarttags" w:element="metricconverter">
        <w:smartTagPr>
          <w:attr w:name="ProductID" w:val="2012 a"/>
        </w:smartTagPr>
        <w:r w:rsidRPr="00A04C19">
          <w:rPr>
            <w:rFonts w:ascii="Arial" w:hAnsi="Arial" w:cs="Arial"/>
          </w:rPr>
          <w:t>2012 a</w:t>
        </w:r>
      </w:smartTag>
      <w:r w:rsidRPr="00A04C19">
        <w:rPr>
          <w:rFonts w:ascii="Arial" w:hAnsi="Arial" w:cs="Arial"/>
        </w:rPr>
        <w:t xml:space="preserve"> 2013</w:t>
      </w:r>
      <w:r>
        <w:rPr>
          <w:rFonts w:ascii="Arial" w:hAnsi="Arial" w:cs="Arial"/>
        </w:rPr>
        <w:t>:</w:t>
      </w:r>
    </w:p>
    <w:p w:rsidR="00CA1750" w:rsidRDefault="00CA1750" w:rsidP="008C2C4D">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103"/>
        <w:gridCol w:w="2103"/>
        <w:gridCol w:w="3494"/>
      </w:tblGrid>
      <w:tr w:rsidR="00CA1750" w:rsidTr="004564A0">
        <w:tc>
          <w:tcPr>
            <w:tcW w:w="2155" w:type="dxa"/>
          </w:tcPr>
          <w:p w:rsidR="00CA1750" w:rsidRPr="00E93E2F" w:rsidRDefault="00CA1750" w:rsidP="00E6281C">
            <w:pPr>
              <w:spacing w:after="0"/>
              <w:jc w:val="center"/>
              <w:rPr>
                <w:rFonts w:ascii="Arial" w:hAnsi="Arial" w:cs="Arial"/>
                <w:b/>
              </w:rPr>
            </w:pPr>
          </w:p>
        </w:tc>
        <w:tc>
          <w:tcPr>
            <w:tcW w:w="4206" w:type="dxa"/>
            <w:gridSpan w:val="2"/>
          </w:tcPr>
          <w:p w:rsidR="00CA1750" w:rsidRPr="00E93E2F" w:rsidRDefault="00CA1750" w:rsidP="00A04C19">
            <w:pPr>
              <w:spacing w:after="0"/>
              <w:jc w:val="center"/>
              <w:rPr>
                <w:rFonts w:ascii="Arial" w:hAnsi="Arial" w:cs="Arial"/>
                <w:b/>
              </w:rPr>
            </w:pPr>
            <w:r w:rsidRPr="00E93E2F">
              <w:rPr>
                <w:rFonts w:ascii="Arial" w:hAnsi="Arial" w:cs="Arial"/>
                <w:b/>
              </w:rPr>
              <w:t xml:space="preserve">Sazba </w:t>
            </w:r>
            <w:r>
              <w:rPr>
                <w:rFonts w:ascii="Arial" w:hAnsi="Arial" w:cs="Arial"/>
                <w:b/>
              </w:rPr>
              <w:t>v procentech</w:t>
            </w:r>
          </w:p>
        </w:tc>
        <w:tc>
          <w:tcPr>
            <w:tcW w:w="3494" w:type="dxa"/>
          </w:tcPr>
          <w:p w:rsidR="00CA1750" w:rsidRPr="00E93E2F" w:rsidRDefault="00CA1750" w:rsidP="00E6281C">
            <w:pPr>
              <w:spacing w:after="0"/>
              <w:jc w:val="center"/>
              <w:rPr>
                <w:rFonts w:ascii="Arial" w:hAnsi="Arial" w:cs="Arial"/>
                <w:b/>
              </w:rPr>
            </w:pPr>
            <w:r>
              <w:rPr>
                <w:rFonts w:ascii="Arial" w:hAnsi="Arial" w:cs="Arial"/>
                <w:b/>
              </w:rPr>
              <w:t>Pokles v procentních bodech</w:t>
            </w:r>
          </w:p>
        </w:tc>
      </w:tr>
      <w:tr w:rsidR="00CA1750" w:rsidTr="004564A0">
        <w:tc>
          <w:tcPr>
            <w:tcW w:w="2155" w:type="dxa"/>
          </w:tcPr>
          <w:p w:rsidR="00CA1750" w:rsidRPr="00E93E2F" w:rsidRDefault="00CA1750" w:rsidP="00E6281C">
            <w:pPr>
              <w:spacing w:after="0"/>
              <w:jc w:val="center"/>
              <w:rPr>
                <w:rFonts w:ascii="Arial" w:hAnsi="Arial" w:cs="Arial"/>
                <w:b/>
              </w:rPr>
            </w:pPr>
            <w:r w:rsidRPr="00E93E2F">
              <w:rPr>
                <w:rFonts w:ascii="Arial" w:hAnsi="Arial" w:cs="Arial"/>
                <w:b/>
              </w:rPr>
              <w:t>Země</w:t>
            </w:r>
          </w:p>
        </w:tc>
        <w:tc>
          <w:tcPr>
            <w:tcW w:w="2103" w:type="dxa"/>
          </w:tcPr>
          <w:p w:rsidR="00CA1750" w:rsidRPr="00E93E2F" w:rsidRDefault="00CA1750" w:rsidP="00E6281C">
            <w:pPr>
              <w:spacing w:after="0"/>
              <w:jc w:val="center"/>
              <w:rPr>
                <w:rFonts w:ascii="Arial" w:hAnsi="Arial" w:cs="Arial"/>
                <w:b/>
              </w:rPr>
            </w:pPr>
            <w:r w:rsidRPr="00E93E2F">
              <w:rPr>
                <w:rFonts w:ascii="Arial" w:hAnsi="Arial" w:cs="Arial"/>
                <w:b/>
              </w:rPr>
              <w:t>2012</w:t>
            </w:r>
          </w:p>
        </w:tc>
        <w:tc>
          <w:tcPr>
            <w:tcW w:w="2103" w:type="dxa"/>
          </w:tcPr>
          <w:p w:rsidR="00CA1750" w:rsidRPr="00E93E2F" w:rsidRDefault="00CA1750" w:rsidP="00E6281C">
            <w:pPr>
              <w:spacing w:after="0"/>
              <w:jc w:val="center"/>
              <w:rPr>
                <w:rFonts w:ascii="Arial" w:hAnsi="Arial" w:cs="Arial"/>
                <w:b/>
              </w:rPr>
            </w:pPr>
            <w:r w:rsidRPr="00E93E2F">
              <w:rPr>
                <w:rFonts w:ascii="Arial" w:hAnsi="Arial" w:cs="Arial"/>
                <w:b/>
              </w:rPr>
              <w:t>2013</w:t>
            </w:r>
          </w:p>
        </w:tc>
        <w:tc>
          <w:tcPr>
            <w:tcW w:w="3494" w:type="dxa"/>
          </w:tcPr>
          <w:p w:rsidR="00CA1750" w:rsidRPr="00E93E2F" w:rsidRDefault="00CA1750" w:rsidP="00E6281C">
            <w:pPr>
              <w:spacing w:after="0"/>
              <w:jc w:val="center"/>
              <w:rPr>
                <w:rFonts w:ascii="Arial" w:hAnsi="Arial" w:cs="Arial"/>
                <w:b/>
              </w:rPr>
            </w:pPr>
          </w:p>
        </w:tc>
      </w:tr>
      <w:tr w:rsidR="00CA1750" w:rsidTr="004564A0">
        <w:tc>
          <w:tcPr>
            <w:tcW w:w="2155" w:type="dxa"/>
          </w:tcPr>
          <w:p w:rsidR="00CA1750" w:rsidRPr="00E93E2F" w:rsidRDefault="00CA1750" w:rsidP="00083F60">
            <w:pPr>
              <w:spacing w:after="0"/>
              <w:rPr>
                <w:rFonts w:ascii="Arial" w:hAnsi="Arial" w:cs="Arial"/>
              </w:rPr>
            </w:pPr>
            <w:r w:rsidRPr="00E93E2F">
              <w:rPr>
                <w:rFonts w:ascii="Arial" w:hAnsi="Arial" w:cs="Arial"/>
              </w:rPr>
              <w:t>Velká Británie</w:t>
            </w:r>
          </w:p>
        </w:tc>
        <w:tc>
          <w:tcPr>
            <w:tcW w:w="2103" w:type="dxa"/>
          </w:tcPr>
          <w:p w:rsidR="00CA1750" w:rsidRPr="00E93E2F" w:rsidRDefault="00CA1750" w:rsidP="00083F60">
            <w:pPr>
              <w:spacing w:after="0"/>
              <w:jc w:val="right"/>
              <w:rPr>
                <w:rFonts w:ascii="Arial" w:hAnsi="Arial" w:cs="Arial"/>
              </w:rPr>
            </w:pPr>
            <w:r w:rsidRPr="00E93E2F">
              <w:rPr>
                <w:rFonts w:ascii="Arial" w:hAnsi="Arial" w:cs="Arial"/>
              </w:rPr>
              <w:t>50</w:t>
            </w:r>
            <w:r>
              <w:rPr>
                <w:rFonts w:ascii="Arial" w:hAnsi="Arial" w:cs="Arial"/>
              </w:rPr>
              <w:t>,00</w:t>
            </w:r>
          </w:p>
        </w:tc>
        <w:tc>
          <w:tcPr>
            <w:tcW w:w="2103" w:type="dxa"/>
          </w:tcPr>
          <w:p w:rsidR="00CA1750" w:rsidRPr="00E93E2F" w:rsidRDefault="00CA1750" w:rsidP="00083F60">
            <w:pPr>
              <w:spacing w:after="0"/>
              <w:jc w:val="right"/>
              <w:rPr>
                <w:rFonts w:ascii="Arial" w:hAnsi="Arial" w:cs="Arial"/>
              </w:rPr>
            </w:pPr>
            <w:r w:rsidRPr="00E93E2F">
              <w:rPr>
                <w:rFonts w:ascii="Arial" w:hAnsi="Arial" w:cs="Arial"/>
              </w:rPr>
              <w:t>45</w:t>
            </w:r>
            <w:r>
              <w:rPr>
                <w:rFonts w:ascii="Arial" w:hAnsi="Arial" w:cs="Arial"/>
              </w:rPr>
              <w:t>,00</w:t>
            </w:r>
          </w:p>
        </w:tc>
        <w:tc>
          <w:tcPr>
            <w:tcW w:w="3494" w:type="dxa"/>
          </w:tcPr>
          <w:p w:rsidR="00CA1750" w:rsidRPr="00E93E2F" w:rsidRDefault="00CA1750" w:rsidP="00083F60">
            <w:pPr>
              <w:spacing w:after="0"/>
              <w:jc w:val="right"/>
              <w:rPr>
                <w:rFonts w:ascii="Arial" w:hAnsi="Arial" w:cs="Arial"/>
              </w:rPr>
            </w:pPr>
            <w:r>
              <w:rPr>
                <w:rFonts w:ascii="Arial" w:hAnsi="Arial" w:cs="Arial"/>
              </w:rPr>
              <w:t>5,00</w:t>
            </w:r>
          </w:p>
        </w:tc>
      </w:tr>
      <w:tr w:rsidR="00CA1750" w:rsidTr="004564A0">
        <w:tc>
          <w:tcPr>
            <w:tcW w:w="2155" w:type="dxa"/>
          </w:tcPr>
          <w:p w:rsidR="00CA1750" w:rsidRPr="00E93E2F" w:rsidRDefault="00CA1750" w:rsidP="00A45B60">
            <w:pPr>
              <w:spacing w:after="0"/>
              <w:rPr>
                <w:rFonts w:ascii="Arial" w:hAnsi="Arial" w:cs="Arial"/>
              </w:rPr>
            </w:pPr>
            <w:r w:rsidRPr="00E93E2F">
              <w:rPr>
                <w:rFonts w:ascii="Arial" w:hAnsi="Arial" w:cs="Arial"/>
              </w:rPr>
              <w:t>Řecko</w:t>
            </w:r>
          </w:p>
        </w:tc>
        <w:tc>
          <w:tcPr>
            <w:tcW w:w="2103" w:type="dxa"/>
          </w:tcPr>
          <w:p w:rsidR="00CA1750" w:rsidRPr="00E93E2F" w:rsidRDefault="00CA1750" w:rsidP="00A45B60">
            <w:pPr>
              <w:spacing w:after="0"/>
              <w:jc w:val="right"/>
              <w:rPr>
                <w:rFonts w:ascii="Arial" w:hAnsi="Arial" w:cs="Arial"/>
              </w:rPr>
            </w:pPr>
            <w:r w:rsidRPr="00E93E2F">
              <w:rPr>
                <w:rFonts w:ascii="Arial" w:hAnsi="Arial" w:cs="Arial"/>
              </w:rPr>
              <w:t>45</w:t>
            </w:r>
            <w:r>
              <w:rPr>
                <w:rFonts w:ascii="Arial" w:hAnsi="Arial" w:cs="Arial"/>
              </w:rPr>
              <w:t>,00</w:t>
            </w:r>
          </w:p>
        </w:tc>
        <w:tc>
          <w:tcPr>
            <w:tcW w:w="2103" w:type="dxa"/>
          </w:tcPr>
          <w:p w:rsidR="00CA1750" w:rsidRPr="00E93E2F" w:rsidRDefault="00CA1750" w:rsidP="00A45B60">
            <w:pPr>
              <w:spacing w:after="0"/>
              <w:jc w:val="right"/>
              <w:rPr>
                <w:rFonts w:ascii="Arial" w:hAnsi="Arial" w:cs="Arial"/>
              </w:rPr>
            </w:pPr>
            <w:r w:rsidRPr="00E93E2F">
              <w:rPr>
                <w:rFonts w:ascii="Arial" w:hAnsi="Arial" w:cs="Arial"/>
              </w:rPr>
              <w:t>42</w:t>
            </w:r>
            <w:r>
              <w:rPr>
                <w:rFonts w:ascii="Arial" w:hAnsi="Arial" w:cs="Arial"/>
              </w:rPr>
              <w:t>,00</w:t>
            </w:r>
          </w:p>
        </w:tc>
        <w:tc>
          <w:tcPr>
            <w:tcW w:w="3494" w:type="dxa"/>
          </w:tcPr>
          <w:p w:rsidR="00CA1750" w:rsidRPr="00E93E2F" w:rsidRDefault="00CA1750" w:rsidP="00A45B60">
            <w:pPr>
              <w:spacing w:after="0"/>
              <w:jc w:val="right"/>
              <w:rPr>
                <w:rFonts w:ascii="Arial" w:hAnsi="Arial" w:cs="Arial"/>
              </w:rPr>
            </w:pPr>
            <w:r>
              <w:rPr>
                <w:rFonts w:ascii="Arial" w:hAnsi="Arial" w:cs="Arial"/>
              </w:rPr>
              <w:t>3,00</w:t>
            </w:r>
          </w:p>
        </w:tc>
      </w:tr>
      <w:tr w:rsidR="00CA1750" w:rsidTr="004564A0">
        <w:tc>
          <w:tcPr>
            <w:tcW w:w="2155" w:type="dxa"/>
          </w:tcPr>
          <w:p w:rsidR="00CA1750" w:rsidRPr="00E93E2F" w:rsidRDefault="00CA1750" w:rsidP="005A1F1C">
            <w:pPr>
              <w:spacing w:after="0"/>
              <w:rPr>
                <w:rFonts w:ascii="Arial" w:hAnsi="Arial" w:cs="Arial"/>
              </w:rPr>
            </w:pPr>
            <w:r w:rsidRPr="00E93E2F">
              <w:rPr>
                <w:rFonts w:ascii="Arial" w:hAnsi="Arial" w:cs="Arial"/>
              </w:rPr>
              <w:t>Litva</w:t>
            </w:r>
          </w:p>
        </w:tc>
        <w:tc>
          <w:tcPr>
            <w:tcW w:w="2103" w:type="dxa"/>
          </w:tcPr>
          <w:p w:rsidR="00CA1750" w:rsidRPr="00E93E2F" w:rsidRDefault="00CA1750" w:rsidP="005A1F1C">
            <w:pPr>
              <w:spacing w:after="0"/>
              <w:jc w:val="right"/>
              <w:rPr>
                <w:rFonts w:ascii="Arial" w:hAnsi="Arial" w:cs="Arial"/>
              </w:rPr>
            </w:pPr>
            <w:r w:rsidRPr="00E93E2F">
              <w:rPr>
                <w:rFonts w:ascii="Arial" w:hAnsi="Arial" w:cs="Arial"/>
              </w:rPr>
              <w:t>25</w:t>
            </w:r>
            <w:r>
              <w:rPr>
                <w:rFonts w:ascii="Arial" w:hAnsi="Arial" w:cs="Arial"/>
              </w:rPr>
              <w:t>,00</w:t>
            </w:r>
          </w:p>
        </w:tc>
        <w:tc>
          <w:tcPr>
            <w:tcW w:w="2103" w:type="dxa"/>
          </w:tcPr>
          <w:p w:rsidR="00CA1750" w:rsidRPr="00E93E2F" w:rsidRDefault="00CA1750" w:rsidP="005A1F1C">
            <w:pPr>
              <w:spacing w:after="0"/>
              <w:jc w:val="right"/>
              <w:rPr>
                <w:rFonts w:ascii="Arial" w:hAnsi="Arial" w:cs="Arial"/>
              </w:rPr>
            </w:pPr>
            <w:r w:rsidRPr="00E93E2F">
              <w:rPr>
                <w:rFonts w:ascii="Arial" w:hAnsi="Arial" w:cs="Arial"/>
              </w:rPr>
              <w:t xml:space="preserve">   24</w:t>
            </w:r>
            <w:r>
              <w:rPr>
                <w:rFonts w:ascii="Arial" w:hAnsi="Arial" w:cs="Arial"/>
              </w:rPr>
              <w:t>,00</w:t>
            </w:r>
          </w:p>
        </w:tc>
        <w:tc>
          <w:tcPr>
            <w:tcW w:w="3494" w:type="dxa"/>
          </w:tcPr>
          <w:p w:rsidR="00CA1750" w:rsidRPr="00E93E2F" w:rsidRDefault="00CA1750" w:rsidP="005A1F1C">
            <w:pPr>
              <w:spacing w:after="0"/>
              <w:jc w:val="right"/>
              <w:rPr>
                <w:rFonts w:ascii="Arial" w:hAnsi="Arial" w:cs="Arial"/>
              </w:rPr>
            </w:pPr>
            <w:r>
              <w:rPr>
                <w:rFonts w:ascii="Arial" w:hAnsi="Arial" w:cs="Arial"/>
              </w:rPr>
              <w:t>1,00</w:t>
            </w:r>
          </w:p>
        </w:tc>
      </w:tr>
      <w:tr w:rsidR="00CA1750" w:rsidTr="004564A0">
        <w:tc>
          <w:tcPr>
            <w:tcW w:w="2155" w:type="dxa"/>
          </w:tcPr>
          <w:p w:rsidR="00CA1750" w:rsidRPr="00E93E2F" w:rsidRDefault="00CA1750" w:rsidP="00491C7B">
            <w:pPr>
              <w:spacing w:after="0"/>
              <w:rPr>
                <w:rFonts w:ascii="Arial" w:hAnsi="Arial" w:cs="Arial"/>
              </w:rPr>
            </w:pPr>
            <w:r>
              <w:rPr>
                <w:rFonts w:ascii="Arial" w:hAnsi="Arial" w:cs="Arial"/>
              </w:rPr>
              <w:t>Island</w:t>
            </w:r>
          </w:p>
        </w:tc>
        <w:tc>
          <w:tcPr>
            <w:tcW w:w="2103" w:type="dxa"/>
          </w:tcPr>
          <w:p w:rsidR="00CA1750" w:rsidRPr="00E93E2F" w:rsidRDefault="00CA1750" w:rsidP="00491C7B">
            <w:pPr>
              <w:spacing w:after="0"/>
              <w:jc w:val="right"/>
              <w:rPr>
                <w:rFonts w:ascii="Arial" w:hAnsi="Arial" w:cs="Arial"/>
              </w:rPr>
            </w:pPr>
            <w:r w:rsidRPr="00E93E2F">
              <w:rPr>
                <w:rFonts w:ascii="Arial" w:hAnsi="Arial" w:cs="Arial"/>
              </w:rPr>
              <w:t>46,24</w:t>
            </w:r>
          </w:p>
        </w:tc>
        <w:tc>
          <w:tcPr>
            <w:tcW w:w="2103" w:type="dxa"/>
          </w:tcPr>
          <w:p w:rsidR="00CA1750" w:rsidRPr="00E93E2F" w:rsidRDefault="00CA1750" w:rsidP="00491C7B">
            <w:pPr>
              <w:spacing w:after="0"/>
              <w:jc w:val="right"/>
              <w:rPr>
                <w:rFonts w:ascii="Arial" w:hAnsi="Arial" w:cs="Arial"/>
              </w:rPr>
            </w:pPr>
            <w:r w:rsidRPr="00E93E2F">
              <w:rPr>
                <w:rFonts w:ascii="Arial" w:hAnsi="Arial" w:cs="Arial"/>
              </w:rPr>
              <w:t>46,22</w:t>
            </w:r>
          </w:p>
        </w:tc>
        <w:tc>
          <w:tcPr>
            <w:tcW w:w="3494" w:type="dxa"/>
          </w:tcPr>
          <w:p w:rsidR="00CA1750" w:rsidRPr="00E93E2F" w:rsidRDefault="00CA1750" w:rsidP="00491C7B">
            <w:pPr>
              <w:spacing w:after="0"/>
              <w:jc w:val="right"/>
              <w:rPr>
                <w:rFonts w:ascii="Arial" w:hAnsi="Arial" w:cs="Arial"/>
              </w:rPr>
            </w:pPr>
            <w:r>
              <w:rPr>
                <w:rFonts w:ascii="Arial" w:hAnsi="Arial" w:cs="Arial"/>
              </w:rPr>
              <w:t>0,02</w:t>
            </w:r>
          </w:p>
        </w:tc>
      </w:tr>
    </w:tbl>
    <w:p w:rsidR="00CA1750" w:rsidRDefault="00CA1750" w:rsidP="003E33F1">
      <w:pPr>
        <w:spacing w:after="0"/>
        <w:jc w:val="right"/>
        <w:rPr>
          <w:rFonts w:ascii="Arial" w:hAnsi="Arial" w:cs="Arial"/>
          <w:highlight w:val="yellow"/>
        </w:rPr>
      </w:pPr>
    </w:p>
    <w:p w:rsidR="00CA1750" w:rsidRDefault="00CA1750" w:rsidP="003E33F1">
      <w:pPr>
        <w:spacing w:after="0"/>
        <w:jc w:val="right"/>
        <w:rPr>
          <w:rFonts w:ascii="Arial" w:hAnsi="Arial" w:cs="Arial"/>
          <w:highlight w:val="yellow"/>
        </w:rPr>
      </w:pPr>
    </w:p>
    <w:p w:rsidR="00CA1750" w:rsidRDefault="00CA1750" w:rsidP="00A03FA6">
      <w:pPr>
        <w:spacing w:after="0"/>
        <w:rPr>
          <w:rFonts w:ascii="Arial" w:hAnsi="Arial" w:cs="Arial"/>
        </w:rPr>
      </w:pPr>
      <w:r>
        <w:rPr>
          <w:rFonts w:ascii="Arial" w:hAnsi="Arial" w:cs="Arial"/>
        </w:rPr>
        <w:t>„N</w:t>
      </w:r>
      <w:r w:rsidRPr="00A03FA6">
        <w:rPr>
          <w:rFonts w:ascii="Arial" w:hAnsi="Arial" w:cs="Arial"/>
        </w:rPr>
        <w:t>a da</w:t>
      </w:r>
      <w:r>
        <w:rPr>
          <w:rFonts w:ascii="Arial" w:hAnsi="Arial" w:cs="Arial"/>
        </w:rPr>
        <w:t>ň</w:t>
      </w:r>
      <w:r w:rsidRPr="00A03FA6">
        <w:rPr>
          <w:rFonts w:ascii="Arial" w:hAnsi="Arial" w:cs="Arial"/>
        </w:rPr>
        <w:t>ov</w:t>
      </w:r>
      <w:r>
        <w:rPr>
          <w:rFonts w:ascii="Arial" w:hAnsi="Arial" w:cs="Arial"/>
        </w:rPr>
        <w:t>é</w:t>
      </w:r>
      <w:r w:rsidRPr="00A03FA6">
        <w:rPr>
          <w:rFonts w:ascii="Arial" w:hAnsi="Arial" w:cs="Arial"/>
        </w:rPr>
        <w:t xml:space="preserve"> sazby a jejich zvy</w:t>
      </w:r>
      <w:r>
        <w:rPr>
          <w:rFonts w:ascii="Arial" w:hAnsi="Arial" w:cs="Arial"/>
        </w:rPr>
        <w:t>š</w:t>
      </w:r>
      <w:r w:rsidRPr="00A03FA6">
        <w:rPr>
          <w:rFonts w:ascii="Arial" w:hAnsi="Arial" w:cs="Arial"/>
        </w:rPr>
        <w:t>ov</w:t>
      </w:r>
      <w:r>
        <w:rPr>
          <w:rFonts w:ascii="Arial" w:hAnsi="Arial" w:cs="Arial"/>
        </w:rPr>
        <w:t>ání</w:t>
      </w:r>
      <w:r w:rsidRPr="00A03FA6">
        <w:rPr>
          <w:rFonts w:ascii="Arial" w:hAnsi="Arial" w:cs="Arial"/>
        </w:rPr>
        <w:t xml:space="preserve"> </w:t>
      </w:r>
      <w:r>
        <w:rPr>
          <w:rFonts w:ascii="Arial" w:hAnsi="Arial" w:cs="Arial"/>
        </w:rPr>
        <w:t xml:space="preserve">je však </w:t>
      </w:r>
      <w:r w:rsidRPr="00A03FA6">
        <w:rPr>
          <w:rFonts w:ascii="Arial" w:hAnsi="Arial" w:cs="Arial"/>
        </w:rPr>
        <w:t>v</w:t>
      </w:r>
      <w:r>
        <w:rPr>
          <w:rFonts w:ascii="Arial" w:hAnsi="Arial" w:cs="Arial"/>
        </w:rPr>
        <w:t>ž</w:t>
      </w:r>
      <w:r w:rsidRPr="00A03FA6">
        <w:rPr>
          <w:rFonts w:ascii="Arial" w:hAnsi="Arial" w:cs="Arial"/>
        </w:rPr>
        <w:t xml:space="preserve">dy </w:t>
      </w:r>
      <w:r>
        <w:rPr>
          <w:rFonts w:ascii="Arial" w:hAnsi="Arial" w:cs="Arial"/>
        </w:rPr>
        <w:t>potřeba nahlížet</w:t>
      </w:r>
      <w:r w:rsidRPr="00A03FA6">
        <w:rPr>
          <w:rFonts w:ascii="Arial" w:hAnsi="Arial" w:cs="Arial"/>
        </w:rPr>
        <w:t xml:space="preserve"> v</w:t>
      </w:r>
      <w:r>
        <w:rPr>
          <w:rFonts w:ascii="Arial" w:hAnsi="Arial" w:cs="Arial"/>
        </w:rPr>
        <w:t> </w:t>
      </w:r>
      <w:r w:rsidRPr="00A03FA6">
        <w:rPr>
          <w:rFonts w:ascii="Arial" w:hAnsi="Arial" w:cs="Arial"/>
        </w:rPr>
        <w:t>kontextu toho</w:t>
      </w:r>
      <w:r>
        <w:rPr>
          <w:rFonts w:ascii="Arial" w:hAnsi="Arial" w:cs="Arial"/>
        </w:rPr>
        <w:t>,</w:t>
      </w:r>
      <w:r w:rsidRPr="00A03FA6">
        <w:rPr>
          <w:rFonts w:ascii="Arial" w:hAnsi="Arial" w:cs="Arial"/>
        </w:rPr>
        <w:t xml:space="preserve"> na jak</w:t>
      </w:r>
      <w:r>
        <w:rPr>
          <w:rFonts w:ascii="Arial" w:hAnsi="Arial" w:cs="Arial"/>
        </w:rPr>
        <w:t>ý</w:t>
      </w:r>
      <w:r w:rsidRPr="00A03FA6">
        <w:rPr>
          <w:rFonts w:ascii="Arial" w:hAnsi="Arial" w:cs="Arial"/>
        </w:rPr>
        <w:t xml:space="preserve"> p</w:t>
      </w:r>
      <w:r>
        <w:rPr>
          <w:rFonts w:ascii="Arial" w:hAnsi="Arial" w:cs="Arial"/>
        </w:rPr>
        <w:t>ří</w:t>
      </w:r>
      <w:r w:rsidRPr="00A03FA6">
        <w:rPr>
          <w:rFonts w:ascii="Arial" w:hAnsi="Arial" w:cs="Arial"/>
        </w:rPr>
        <w:t>jem se nejvy</w:t>
      </w:r>
      <w:r>
        <w:rPr>
          <w:rFonts w:ascii="Arial" w:hAnsi="Arial" w:cs="Arial"/>
        </w:rPr>
        <w:t>šší</w:t>
      </w:r>
      <w:r w:rsidRPr="00A03FA6">
        <w:rPr>
          <w:rFonts w:ascii="Arial" w:hAnsi="Arial" w:cs="Arial"/>
        </w:rPr>
        <w:t xml:space="preserve"> da</w:t>
      </w:r>
      <w:r>
        <w:rPr>
          <w:rFonts w:ascii="Arial" w:hAnsi="Arial" w:cs="Arial"/>
        </w:rPr>
        <w:t>ň</w:t>
      </w:r>
      <w:r w:rsidRPr="00A03FA6">
        <w:rPr>
          <w:rFonts w:ascii="Arial" w:hAnsi="Arial" w:cs="Arial"/>
        </w:rPr>
        <w:t>ov</w:t>
      </w:r>
      <w:r>
        <w:rPr>
          <w:rFonts w:ascii="Arial" w:hAnsi="Arial" w:cs="Arial"/>
        </w:rPr>
        <w:t>á</w:t>
      </w:r>
      <w:r w:rsidRPr="00A03FA6">
        <w:rPr>
          <w:rFonts w:ascii="Arial" w:hAnsi="Arial" w:cs="Arial"/>
        </w:rPr>
        <w:t xml:space="preserve"> p</w:t>
      </w:r>
      <w:r>
        <w:rPr>
          <w:rFonts w:ascii="Arial" w:hAnsi="Arial" w:cs="Arial"/>
        </w:rPr>
        <w:t>á</w:t>
      </w:r>
      <w:r w:rsidRPr="00A03FA6">
        <w:rPr>
          <w:rFonts w:ascii="Arial" w:hAnsi="Arial" w:cs="Arial"/>
        </w:rPr>
        <w:t>sma aplikuj</w:t>
      </w:r>
      <w:r>
        <w:rPr>
          <w:rFonts w:ascii="Arial" w:hAnsi="Arial" w:cs="Arial"/>
        </w:rPr>
        <w:t>í</w:t>
      </w:r>
      <w:r w:rsidRPr="00A03FA6">
        <w:rPr>
          <w:rFonts w:ascii="Arial" w:hAnsi="Arial" w:cs="Arial"/>
        </w:rPr>
        <w:t xml:space="preserve">. </w:t>
      </w:r>
      <w:r>
        <w:rPr>
          <w:rFonts w:ascii="Arial" w:hAnsi="Arial" w:cs="Arial"/>
        </w:rPr>
        <w:t xml:space="preserve">V některých zemích, jako je třeba USA, se totiž použijí až pro zdanění extrémně vysokých příjmů. V důsledku toho tamní průměrné zdanění může korespondovat se situací, jaká panuje i v jiných zemích,“ vysvětluje </w:t>
      </w:r>
      <w:r w:rsidRPr="00A03FA6">
        <w:rPr>
          <w:rFonts w:ascii="Arial" w:hAnsi="Arial" w:cs="Arial"/>
          <w:b/>
        </w:rPr>
        <w:t>Jana Bartyzalová</w:t>
      </w:r>
      <w:r>
        <w:rPr>
          <w:rFonts w:ascii="Arial" w:hAnsi="Arial" w:cs="Arial"/>
        </w:rPr>
        <w:t xml:space="preserve">.  </w:t>
      </w:r>
    </w:p>
    <w:p w:rsidR="00CA1750" w:rsidRDefault="00CA1750" w:rsidP="003E33F1">
      <w:pPr>
        <w:spacing w:after="0"/>
        <w:jc w:val="right"/>
        <w:rPr>
          <w:rFonts w:ascii="Arial" w:hAnsi="Arial" w:cs="Arial"/>
          <w:highlight w:val="yellow"/>
        </w:rPr>
      </w:pPr>
    </w:p>
    <w:p w:rsidR="00CA1750" w:rsidRDefault="00CA1750" w:rsidP="003E33F1">
      <w:pPr>
        <w:spacing w:after="0"/>
        <w:jc w:val="right"/>
        <w:rPr>
          <w:rFonts w:ascii="Arial" w:hAnsi="Arial" w:cs="Arial"/>
          <w:highlight w:val="yellow"/>
        </w:rPr>
      </w:pPr>
    </w:p>
    <w:p w:rsidR="00CA1750" w:rsidRDefault="00CA1750" w:rsidP="003E33F1">
      <w:pPr>
        <w:spacing w:after="0"/>
        <w:jc w:val="right"/>
        <w:rPr>
          <w:rFonts w:ascii="Arial" w:hAnsi="Arial" w:cs="Arial"/>
          <w:highlight w:val="yellow"/>
        </w:rPr>
      </w:pPr>
    </w:p>
    <w:p w:rsidR="00CA1750" w:rsidRPr="001D25FC" w:rsidRDefault="00CA1750" w:rsidP="003E33F1">
      <w:pPr>
        <w:spacing w:after="0"/>
        <w:jc w:val="right"/>
        <w:rPr>
          <w:rFonts w:ascii="Arial" w:hAnsi="Arial" w:cs="Arial"/>
        </w:rPr>
      </w:pPr>
      <w:r w:rsidRPr="00840209">
        <w:rPr>
          <w:rFonts w:ascii="Arial" w:hAnsi="Arial" w:cs="Arial"/>
        </w:rPr>
        <w:t xml:space="preserve">Praha </w:t>
      </w:r>
      <w:r w:rsidR="00840209">
        <w:rPr>
          <w:rFonts w:ascii="Arial" w:hAnsi="Arial" w:cs="Arial"/>
        </w:rPr>
        <w:t>28</w:t>
      </w:r>
      <w:r w:rsidRPr="00840209">
        <w:rPr>
          <w:rFonts w:ascii="Arial" w:hAnsi="Arial" w:cs="Arial"/>
        </w:rPr>
        <w:t>. listopadu 2013</w:t>
      </w:r>
    </w:p>
    <w:p w:rsidR="00CA1750" w:rsidRDefault="00CA1750" w:rsidP="00193A96">
      <w:pPr>
        <w:ind w:left="360"/>
        <w:jc w:val="center"/>
        <w:rPr>
          <w:rFonts w:ascii="Arial" w:hAnsi="Arial" w:cs="Arial"/>
          <w:b/>
          <w:iCs/>
          <w:szCs w:val="20"/>
        </w:rPr>
      </w:pPr>
      <w:r>
        <w:rPr>
          <w:rFonts w:ascii="Arial" w:hAnsi="Arial" w:cs="Arial"/>
          <w:b/>
          <w:iCs/>
          <w:szCs w:val="20"/>
        </w:rPr>
        <w:t xml:space="preserve">– </w:t>
      </w:r>
      <w:r w:rsidRPr="005426F2">
        <w:rPr>
          <w:rFonts w:ascii="Arial" w:hAnsi="Arial" w:cs="Arial"/>
          <w:b/>
          <w:iCs/>
          <w:szCs w:val="20"/>
        </w:rPr>
        <w:t>KONEC</w:t>
      </w:r>
      <w:r>
        <w:rPr>
          <w:rFonts w:ascii="Arial" w:hAnsi="Arial" w:cs="Arial"/>
          <w:b/>
          <w:iCs/>
          <w:szCs w:val="20"/>
        </w:rPr>
        <w:t xml:space="preserve"> </w:t>
      </w:r>
      <w:r w:rsidRPr="005426F2">
        <w:rPr>
          <w:rFonts w:ascii="Arial" w:hAnsi="Arial" w:cs="Arial"/>
          <w:b/>
          <w:iCs/>
          <w:szCs w:val="20"/>
        </w:rPr>
        <w:t>–</w:t>
      </w:r>
    </w:p>
    <w:p w:rsidR="00CA1750" w:rsidRPr="005426F2" w:rsidRDefault="00CA1750" w:rsidP="00193A96">
      <w:pPr>
        <w:ind w:left="360"/>
        <w:jc w:val="center"/>
        <w:rPr>
          <w:rFonts w:ascii="Arial" w:hAnsi="Arial" w:cs="Arial"/>
          <w:b/>
          <w:iCs/>
          <w:szCs w:val="20"/>
        </w:rPr>
      </w:pPr>
    </w:p>
    <w:tbl>
      <w:tblPr>
        <w:tblW w:w="11340" w:type="dxa"/>
        <w:tblInd w:w="-1026" w:type="dxa"/>
        <w:tblLook w:val="00A0" w:firstRow="1" w:lastRow="0" w:firstColumn="1" w:lastColumn="0" w:noHBand="0" w:noVBand="0"/>
      </w:tblPr>
      <w:tblGrid>
        <w:gridCol w:w="5670"/>
        <w:gridCol w:w="4253"/>
        <w:gridCol w:w="1417"/>
      </w:tblGrid>
      <w:tr w:rsidR="00CA1750" w:rsidRPr="00D400AA" w:rsidTr="00D400AA">
        <w:trPr>
          <w:trHeight w:val="391"/>
        </w:trPr>
        <w:tc>
          <w:tcPr>
            <w:tcW w:w="11340" w:type="dxa"/>
            <w:gridSpan w:val="3"/>
            <w:shd w:val="clear" w:color="auto" w:fill="00338D"/>
          </w:tcPr>
          <w:p w:rsidR="00CA1750" w:rsidRPr="00D400AA" w:rsidRDefault="00CA1750" w:rsidP="00D400AA">
            <w:pPr>
              <w:pStyle w:val="Contact"/>
              <w:spacing w:before="120" w:after="120" w:line="240" w:lineRule="auto"/>
              <w:ind w:right="459"/>
              <w:rPr>
                <w:rFonts w:ascii="Arial" w:hAnsi="Arial" w:cs="Arial"/>
                <w:b/>
                <w:sz w:val="20"/>
                <w:lang w:eastAsia="cs-CZ"/>
              </w:rPr>
            </w:pPr>
            <w:r w:rsidRPr="00D400AA">
              <w:rPr>
                <w:rFonts w:ascii="Arial" w:hAnsi="Arial" w:cs="Arial"/>
                <w:b/>
                <w:sz w:val="20"/>
                <w:lang w:eastAsia="cs-CZ"/>
              </w:rPr>
              <w:t>Kontakty pro média</w:t>
            </w:r>
          </w:p>
        </w:tc>
      </w:tr>
      <w:tr w:rsidR="00CA1750" w:rsidRPr="00D400AA" w:rsidTr="00D400AA">
        <w:trPr>
          <w:gridAfter w:val="1"/>
          <w:wAfter w:w="1417" w:type="dxa"/>
        </w:trPr>
        <w:tc>
          <w:tcPr>
            <w:tcW w:w="5670" w:type="dxa"/>
          </w:tcPr>
          <w:p w:rsidR="00CA1750" w:rsidRPr="00D400AA" w:rsidRDefault="00CA1750" w:rsidP="00D400AA">
            <w:pPr>
              <w:spacing w:before="120" w:after="0" w:line="240" w:lineRule="auto"/>
              <w:ind w:left="175" w:right="742"/>
              <w:rPr>
                <w:rStyle w:val="Contactbold"/>
                <w:color w:val="00338D"/>
                <w:sz w:val="20"/>
                <w:lang w:val="en-US"/>
              </w:rPr>
            </w:pPr>
            <w:r w:rsidRPr="00D400AA">
              <w:rPr>
                <w:rStyle w:val="Contactbold"/>
                <w:color w:val="00338D"/>
                <w:sz w:val="20"/>
                <w:lang w:val="en-US"/>
              </w:rPr>
              <w:lastRenderedPageBreak/>
              <w:t>Kateřina Konečná</w:t>
            </w:r>
          </w:p>
          <w:p w:rsidR="00CA1750" w:rsidRPr="00D400AA" w:rsidRDefault="00CA1750" w:rsidP="00D400AA">
            <w:pPr>
              <w:spacing w:after="0"/>
              <w:ind w:left="175"/>
              <w:rPr>
                <w:rFonts w:ascii="Arial" w:hAnsi="Arial" w:cs="Arial"/>
                <w:noProof/>
                <w:color w:val="000000"/>
                <w:sz w:val="20"/>
                <w:szCs w:val="20"/>
                <w:lang w:eastAsia="cs-CZ"/>
              </w:rPr>
            </w:pPr>
            <w:r w:rsidRPr="00D400AA">
              <w:rPr>
                <w:rFonts w:ascii="Arial" w:hAnsi="Arial" w:cs="Arial"/>
                <w:noProof/>
                <w:color w:val="000000"/>
                <w:sz w:val="20"/>
                <w:szCs w:val="20"/>
                <w:lang w:eastAsia="cs-CZ"/>
              </w:rPr>
              <w:t>Senior Manager</w:t>
            </w:r>
          </w:p>
          <w:p w:rsidR="00CA1750" w:rsidRPr="00D400AA" w:rsidRDefault="00CA1750" w:rsidP="00D400AA">
            <w:pPr>
              <w:spacing w:after="0"/>
              <w:ind w:left="175"/>
              <w:rPr>
                <w:rFonts w:ascii="Arial" w:hAnsi="Arial" w:cs="Arial"/>
                <w:noProof/>
                <w:color w:val="000000"/>
                <w:sz w:val="20"/>
                <w:szCs w:val="20"/>
                <w:lang w:eastAsia="cs-CZ"/>
              </w:rPr>
            </w:pPr>
            <w:r w:rsidRPr="00D400AA">
              <w:rPr>
                <w:rFonts w:ascii="Arial" w:hAnsi="Arial" w:cs="Arial"/>
                <w:noProof/>
                <w:color w:val="000000"/>
                <w:sz w:val="20"/>
                <w:szCs w:val="20"/>
                <w:lang w:eastAsia="cs-CZ"/>
              </w:rPr>
              <w:t xml:space="preserve">Marketing and Communications </w:t>
            </w:r>
          </w:p>
          <w:p w:rsidR="00CA1750" w:rsidRPr="00D400AA" w:rsidRDefault="00682561" w:rsidP="00D400AA">
            <w:pPr>
              <w:spacing w:after="0"/>
              <w:ind w:left="175"/>
              <w:rPr>
                <w:rFonts w:ascii="Arial" w:hAnsi="Arial" w:cs="Arial"/>
                <w:b/>
                <w:noProof/>
                <w:color w:val="000000"/>
                <w:sz w:val="20"/>
                <w:szCs w:val="20"/>
                <w:lang w:eastAsia="cs-CZ"/>
              </w:rPr>
            </w:pPr>
            <w:hyperlink r:id="rId10" w:history="1">
              <w:r w:rsidR="00CA1750" w:rsidRPr="00D400AA">
                <w:rPr>
                  <w:rStyle w:val="Hypertextovodkaz"/>
                  <w:rFonts w:ascii="Arial" w:hAnsi="Arial" w:cs="Arial"/>
                  <w:b/>
                  <w:noProof/>
                  <w:sz w:val="20"/>
                  <w:szCs w:val="20"/>
                  <w:lang w:eastAsia="cs-CZ"/>
                </w:rPr>
                <w:t>KPMG Česká republika</w:t>
              </w:r>
            </w:hyperlink>
          </w:p>
          <w:p w:rsidR="00CA1750" w:rsidRPr="00D400AA" w:rsidRDefault="00CA1750" w:rsidP="00D400AA">
            <w:pPr>
              <w:spacing w:after="0"/>
              <w:ind w:left="175"/>
              <w:rPr>
                <w:rFonts w:ascii="Arial" w:hAnsi="Arial" w:cs="Arial"/>
                <w:noProof/>
                <w:color w:val="000000"/>
                <w:sz w:val="20"/>
                <w:szCs w:val="20"/>
                <w:lang w:eastAsia="cs-CZ"/>
              </w:rPr>
            </w:pPr>
            <w:r w:rsidRPr="00D400AA">
              <w:rPr>
                <w:rFonts w:ascii="Arial" w:hAnsi="Arial" w:cs="Arial"/>
                <w:b/>
                <w:noProof/>
                <w:color w:val="000000"/>
                <w:sz w:val="20"/>
                <w:szCs w:val="20"/>
                <w:lang w:eastAsia="cs-CZ"/>
              </w:rPr>
              <w:t>T:</w:t>
            </w:r>
            <w:r w:rsidRPr="00D400AA">
              <w:rPr>
                <w:rFonts w:ascii="Arial" w:hAnsi="Arial" w:cs="Arial"/>
                <w:noProof/>
                <w:color w:val="000000"/>
                <w:sz w:val="20"/>
                <w:szCs w:val="20"/>
                <w:lang w:eastAsia="cs-CZ"/>
              </w:rPr>
              <w:t xml:space="preserve"> 222 123 256</w:t>
            </w:r>
          </w:p>
          <w:p w:rsidR="00CA1750" w:rsidRPr="00D400AA" w:rsidRDefault="00CA1750" w:rsidP="00D400AA">
            <w:pPr>
              <w:spacing w:after="0" w:line="240" w:lineRule="auto"/>
              <w:ind w:left="175"/>
              <w:rPr>
                <w:rFonts w:ascii="Times New Roman" w:hAnsi="Times New Roman"/>
                <w:sz w:val="20"/>
                <w:szCs w:val="20"/>
                <w:lang w:eastAsia="cs-CZ"/>
              </w:rPr>
            </w:pPr>
            <w:r w:rsidRPr="00D400AA">
              <w:rPr>
                <w:rStyle w:val="Contactbold"/>
                <w:sz w:val="20"/>
                <w:lang w:val="de-DE"/>
              </w:rPr>
              <w:t>E:</w:t>
            </w:r>
            <w:r w:rsidRPr="00D400AA">
              <w:rPr>
                <w:rFonts w:ascii="Times New Roman" w:hAnsi="Times New Roman"/>
                <w:sz w:val="20"/>
                <w:szCs w:val="20"/>
                <w:lang w:eastAsia="cs-CZ"/>
              </w:rPr>
              <w:t xml:space="preserve"> </w:t>
            </w:r>
            <w:hyperlink r:id="rId11" w:history="1">
              <w:r w:rsidRPr="00D400AA">
                <w:rPr>
                  <w:rStyle w:val="Hypertextovodkaz"/>
                  <w:rFonts w:ascii="Arial" w:hAnsi="Arial" w:cs="Arial"/>
                  <w:sz w:val="20"/>
                  <w:szCs w:val="20"/>
                  <w:lang w:eastAsia="cs-CZ"/>
                </w:rPr>
                <w:t>kkonecna@kpmg.cz</w:t>
              </w:r>
            </w:hyperlink>
          </w:p>
          <w:p w:rsidR="00CA1750" w:rsidRPr="00D400AA" w:rsidRDefault="00682561" w:rsidP="00D400AA">
            <w:pPr>
              <w:pStyle w:val="Contactemail"/>
              <w:tabs>
                <w:tab w:val="left" w:pos="5685"/>
              </w:tabs>
              <w:ind w:left="175"/>
              <w:rPr>
                <w:rStyle w:val="Contactbold"/>
                <w:rFonts w:cs="Arial"/>
                <w:i/>
                <w:sz w:val="20"/>
                <w:szCs w:val="20"/>
                <w:lang w:val="cs-CZ" w:eastAsia="cs-CZ"/>
              </w:rPr>
            </w:pPr>
            <w:hyperlink r:id="rId12" w:history="1">
              <w:r w:rsidR="00CA1750" w:rsidRPr="00D400AA">
                <w:rPr>
                  <w:rStyle w:val="Contactbold"/>
                  <w:color w:val="00338D"/>
                  <w:sz w:val="20"/>
                  <w:lang w:val="de-DE"/>
                </w:rPr>
                <w:t>www.kpmg.cz</w:t>
              </w:r>
            </w:hyperlink>
          </w:p>
        </w:tc>
        <w:tc>
          <w:tcPr>
            <w:tcW w:w="4253" w:type="dxa"/>
          </w:tcPr>
          <w:p w:rsidR="00CA1750" w:rsidRPr="00D400AA" w:rsidRDefault="00CA1750" w:rsidP="00D400AA">
            <w:pPr>
              <w:spacing w:before="120" w:after="0" w:line="240" w:lineRule="auto"/>
              <w:ind w:left="601"/>
              <w:rPr>
                <w:rFonts w:ascii="Arial" w:hAnsi="Arial"/>
                <w:b/>
                <w:color w:val="00338D"/>
                <w:sz w:val="20"/>
                <w:szCs w:val="20"/>
              </w:rPr>
            </w:pPr>
            <w:r w:rsidRPr="00D400AA">
              <w:rPr>
                <w:rFonts w:ascii="Arial" w:hAnsi="Arial"/>
                <w:b/>
                <w:color w:val="00338D"/>
                <w:sz w:val="20"/>
                <w:szCs w:val="20"/>
              </w:rPr>
              <w:t xml:space="preserve">Vladimíra Kolaříková </w:t>
            </w:r>
          </w:p>
          <w:p w:rsidR="00CA1750" w:rsidRPr="00D400AA" w:rsidRDefault="00CA1750" w:rsidP="00D400AA">
            <w:pPr>
              <w:spacing w:after="0"/>
              <w:ind w:left="601"/>
              <w:rPr>
                <w:rFonts w:ascii="Arial" w:hAnsi="Arial" w:cs="Arial"/>
                <w:noProof/>
                <w:color w:val="000000"/>
                <w:sz w:val="20"/>
                <w:szCs w:val="20"/>
                <w:lang w:eastAsia="cs-CZ"/>
              </w:rPr>
            </w:pPr>
            <w:r>
              <w:rPr>
                <w:rFonts w:ascii="Arial" w:hAnsi="Arial" w:cs="Arial"/>
                <w:noProof/>
                <w:color w:val="000000"/>
                <w:sz w:val="20"/>
                <w:szCs w:val="20"/>
                <w:lang w:eastAsia="cs-CZ"/>
              </w:rPr>
              <w:t>Senior Consultant</w:t>
            </w:r>
          </w:p>
          <w:p w:rsidR="00CA1750" w:rsidRPr="00D400AA" w:rsidRDefault="00CA1750" w:rsidP="00D400AA">
            <w:pPr>
              <w:spacing w:after="0"/>
              <w:ind w:left="601"/>
              <w:rPr>
                <w:rFonts w:ascii="Arial" w:hAnsi="Arial" w:cs="Arial"/>
                <w:b/>
                <w:noProof/>
                <w:color w:val="000000"/>
                <w:sz w:val="20"/>
                <w:szCs w:val="20"/>
                <w:lang w:eastAsia="cs-CZ"/>
              </w:rPr>
            </w:pPr>
            <w:r w:rsidRPr="00D400AA">
              <w:rPr>
                <w:rFonts w:ascii="Arial" w:hAnsi="Arial" w:cs="Arial"/>
                <w:b/>
                <w:noProof/>
                <w:color w:val="000000"/>
                <w:sz w:val="20"/>
                <w:szCs w:val="20"/>
                <w:lang w:eastAsia="cs-CZ"/>
              </w:rPr>
              <w:t>Native PR</w:t>
            </w:r>
          </w:p>
          <w:p w:rsidR="00CA1750" w:rsidRPr="00D400AA" w:rsidRDefault="00CA1750" w:rsidP="00D400AA">
            <w:pPr>
              <w:spacing w:after="0"/>
              <w:ind w:left="601"/>
              <w:rPr>
                <w:rStyle w:val="Contactbold"/>
                <w:rFonts w:cs="Arial"/>
                <w:sz w:val="20"/>
                <w:szCs w:val="20"/>
                <w:lang w:val="de-DE"/>
              </w:rPr>
            </w:pPr>
            <w:r w:rsidRPr="00D400AA">
              <w:rPr>
                <w:rFonts w:ascii="Arial" w:hAnsi="Arial" w:cs="Arial"/>
                <w:b/>
                <w:noProof/>
                <w:color w:val="000000"/>
                <w:sz w:val="20"/>
                <w:szCs w:val="20"/>
                <w:lang w:val="de-DE" w:eastAsia="cs-CZ"/>
              </w:rPr>
              <w:t>T:</w:t>
            </w:r>
            <w:r w:rsidRPr="00D400AA">
              <w:rPr>
                <w:rFonts w:ascii="Arial" w:hAnsi="Arial" w:cs="Arial"/>
                <w:noProof/>
                <w:color w:val="000000"/>
                <w:sz w:val="20"/>
                <w:szCs w:val="20"/>
                <w:lang w:val="de-DE" w:eastAsia="cs-CZ"/>
              </w:rPr>
              <w:t xml:space="preserve"> 739 298 166</w:t>
            </w:r>
          </w:p>
          <w:p w:rsidR="00CA1750" w:rsidRPr="00D400AA" w:rsidRDefault="00CA1750" w:rsidP="00D400AA">
            <w:pPr>
              <w:spacing w:after="0"/>
              <w:ind w:left="601" w:right="-108"/>
              <w:rPr>
                <w:rFonts w:ascii="Arial" w:hAnsi="Arial" w:cs="Arial"/>
                <w:noProof/>
                <w:color w:val="000000"/>
                <w:sz w:val="20"/>
                <w:szCs w:val="20"/>
                <w:lang w:val="de-DE" w:eastAsia="cs-CZ"/>
              </w:rPr>
            </w:pPr>
            <w:r w:rsidRPr="00D400AA">
              <w:rPr>
                <w:rStyle w:val="Contactbold"/>
                <w:rFonts w:cs="Arial"/>
                <w:sz w:val="20"/>
                <w:szCs w:val="20"/>
                <w:lang w:val="de-DE"/>
              </w:rPr>
              <w:t xml:space="preserve">E: </w:t>
            </w:r>
            <w:smartTag w:uri="urn:schemas-microsoft-com:office:smarttags" w:element="PersonName">
              <w:r w:rsidRPr="00D400AA">
                <w:rPr>
                  <w:rStyle w:val="Hypertextovodkaz"/>
                  <w:rFonts w:ascii="Arial" w:hAnsi="Arial" w:cs="Arial"/>
                  <w:sz w:val="20"/>
                  <w:szCs w:val="20"/>
                  <w:lang w:eastAsia="cs-CZ"/>
                </w:rPr>
                <w:t>vladimira.kolarikova@nativepr.cz</w:t>
              </w:r>
            </w:smartTag>
          </w:p>
          <w:p w:rsidR="00CA1750" w:rsidRPr="00D400AA" w:rsidRDefault="00682561" w:rsidP="00D400AA">
            <w:pPr>
              <w:spacing w:after="0"/>
              <w:ind w:left="601"/>
              <w:rPr>
                <w:rStyle w:val="Contactbold"/>
                <w:color w:val="00338D"/>
                <w:sz w:val="20"/>
                <w:lang w:val="en-US"/>
              </w:rPr>
            </w:pPr>
            <w:hyperlink r:id="rId13" w:history="1">
              <w:r w:rsidR="00CA1750" w:rsidRPr="00D400AA">
                <w:rPr>
                  <w:rStyle w:val="Contactbold"/>
                  <w:color w:val="00338D"/>
                  <w:sz w:val="20"/>
                  <w:szCs w:val="20"/>
                  <w:lang w:val="de-DE"/>
                </w:rPr>
                <w:t>www.nativepr.cz</w:t>
              </w:r>
            </w:hyperlink>
          </w:p>
        </w:tc>
      </w:tr>
    </w:tbl>
    <w:p w:rsidR="00CA1750" w:rsidRDefault="00CA1750" w:rsidP="0064431D">
      <w:pPr>
        <w:spacing w:after="0"/>
        <w:ind w:left="-993"/>
        <w:rPr>
          <w:rFonts w:ascii="Arial" w:hAnsi="Arial" w:cs="Arial"/>
          <w:i/>
          <w:color w:val="000000"/>
          <w:sz w:val="18"/>
          <w:szCs w:val="20"/>
        </w:rPr>
      </w:pPr>
    </w:p>
    <w:p w:rsidR="00CA1750" w:rsidRDefault="00CA1750" w:rsidP="0064431D">
      <w:pPr>
        <w:spacing w:after="0"/>
        <w:ind w:left="-993"/>
        <w:rPr>
          <w:rFonts w:ascii="Arial" w:hAnsi="Arial" w:cs="Arial"/>
          <w:i/>
          <w:color w:val="000000"/>
          <w:sz w:val="18"/>
          <w:szCs w:val="20"/>
        </w:rPr>
      </w:pPr>
      <w:r w:rsidRPr="00C85C69">
        <w:rPr>
          <w:rFonts w:ascii="Arial" w:hAnsi="Arial" w:cs="Arial"/>
          <w:i/>
          <w:color w:val="000000"/>
          <w:sz w:val="18"/>
          <w:szCs w:val="20"/>
        </w:rPr>
        <w:t xml:space="preserve">Společnost </w:t>
      </w:r>
      <w:hyperlink r:id="rId14" w:history="1">
        <w:r w:rsidRPr="00381C37">
          <w:rPr>
            <w:rStyle w:val="Hypertextovodkaz"/>
            <w:rFonts w:ascii="Arial" w:hAnsi="Arial" w:cs="Arial"/>
            <w:i/>
            <w:sz w:val="18"/>
            <w:szCs w:val="20"/>
          </w:rPr>
          <w:t>KPMG Česká republika</w:t>
        </w:r>
      </w:hyperlink>
      <w:r w:rsidRPr="00C85C69">
        <w:rPr>
          <w:rFonts w:ascii="Arial" w:hAnsi="Arial" w:cs="Arial"/>
          <w:i/>
          <w:color w:val="000000"/>
          <w:sz w:val="18"/>
          <w:szCs w:val="20"/>
        </w:rPr>
        <w:t xml:space="preserve"> zahájila svou činnost v roce 1990, kdy byla v Praze otevřena první kancelář. V současné době má 7</w:t>
      </w:r>
      <w:r>
        <w:rPr>
          <w:rFonts w:ascii="Arial" w:hAnsi="Arial" w:cs="Arial"/>
          <w:i/>
          <w:color w:val="000000"/>
          <w:sz w:val="18"/>
          <w:szCs w:val="20"/>
        </w:rPr>
        <w:t>6</w:t>
      </w:r>
      <w:r w:rsidRPr="00C85C69">
        <w:rPr>
          <w:rFonts w:ascii="Arial" w:hAnsi="Arial" w:cs="Arial"/>
          <w:i/>
          <w:color w:val="000000"/>
          <w:sz w:val="18"/>
          <w:szCs w:val="20"/>
        </w:rPr>
        <w:t xml:space="preserve">0 zaměstnanců a kanceláře v Praze, Brně, Českých Budějovicích a Ostravě. KPMG Česká republika poskytuje služby v oblasti </w:t>
      </w:r>
      <w:hyperlink r:id="rId15" w:history="1">
        <w:r w:rsidRPr="00381C37">
          <w:rPr>
            <w:rStyle w:val="Hypertextovodkaz"/>
            <w:rFonts w:ascii="Arial" w:hAnsi="Arial" w:cs="Arial"/>
            <w:i/>
            <w:sz w:val="18"/>
            <w:szCs w:val="20"/>
          </w:rPr>
          <w:t>auditu</w:t>
        </w:r>
      </w:hyperlink>
      <w:r>
        <w:rPr>
          <w:rFonts w:ascii="Arial" w:hAnsi="Arial" w:cs="Arial"/>
          <w:i/>
          <w:color w:val="000000"/>
          <w:sz w:val="18"/>
          <w:szCs w:val="20"/>
        </w:rPr>
        <w:t xml:space="preserve">, </w:t>
      </w:r>
      <w:hyperlink r:id="rId16" w:history="1">
        <w:r w:rsidRPr="00381C37">
          <w:rPr>
            <w:rStyle w:val="Hypertextovodkaz"/>
            <w:rFonts w:ascii="Arial" w:hAnsi="Arial" w:cs="Arial"/>
            <w:i/>
            <w:sz w:val="18"/>
            <w:szCs w:val="20"/>
          </w:rPr>
          <w:t>daní</w:t>
        </w:r>
      </w:hyperlink>
      <w:r>
        <w:rPr>
          <w:rFonts w:ascii="Arial" w:hAnsi="Arial" w:cs="Arial"/>
          <w:i/>
          <w:color w:val="000000"/>
          <w:sz w:val="18"/>
          <w:szCs w:val="20"/>
        </w:rPr>
        <w:t xml:space="preserve">, </w:t>
      </w:r>
      <w:hyperlink r:id="rId17" w:history="1">
        <w:r w:rsidRPr="00381C37">
          <w:rPr>
            <w:rStyle w:val="Hypertextovodkaz"/>
            <w:rFonts w:ascii="Arial" w:hAnsi="Arial" w:cs="Arial"/>
            <w:i/>
            <w:sz w:val="18"/>
            <w:szCs w:val="20"/>
          </w:rPr>
          <w:t>poradenství</w:t>
        </w:r>
      </w:hyperlink>
      <w:r>
        <w:rPr>
          <w:rFonts w:ascii="Arial" w:hAnsi="Arial" w:cs="Arial"/>
          <w:i/>
          <w:color w:val="000000"/>
          <w:sz w:val="18"/>
          <w:szCs w:val="20"/>
        </w:rPr>
        <w:t xml:space="preserve"> a </w:t>
      </w:r>
      <w:hyperlink r:id="rId18" w:history="1">
        <w:r w:rsidRPr="00381C37">
          <w:rPr>
            <w:rStyle w:val="Hypertextovodkaz"/>
            <w:rFonts w:ascii="Arial" w:hAnsi="Arial" w:cs="Arial"/>
            <w:i/>
            <w:sz w:val="18"/>
            <w:szCs w:val="20"/>
          </w:rPr>
          <w:t>práva</w:t>
        </w:r>
      </w:hyperlink>
      <w:r>
        <w:rPr>
          <w:rFonts w:ascii="Arial" w:hAnsi="Arial" w:cs="Arial"/>
          <w:i/>
          <w:color w:val="000000"/>
          <w:sz w:val="18"/>
          <w:szCs w:val="20"/>
        </w:rPr>
        <w:t>.</w:t>
      </w:r>
      <w:r w:rsidRPr="00C85C69">
        <w:rPr>
          <w:rFonts w:ascii="Arial" w:hAnsi="Arial" w:cs="Arial"/>
          <w:i/>
          <w:color w:val="000000"/>
          <w:sz w:val="18"/>
          <w:szCs w:val="20"/>
        </w:rPr>
        <w:t xml:space="preserve"> Z 6</w:t>
      </w:r>
      <w:r>
        <w:rPr>
          <w:rFonts w:ascii="Arial" w:hAnsi="Arial" w:cs="Arial"/>
          <w:i/>
          <w:color w:val="000000"/>
          <w:sz w:val="18"/>
          <w:szCs w:val="20"/>
        </w:rPr>
        <w:t>25</w:t>
      </w:r>
      <w:r w:rsidRPr="00C85C69">
        <w:rPr>
          <w:rFonts w:ascii="Arial" w:hAnsi="Arial" w:cs="Arial"/>
          <w:i/>
          <w:color w:val="000000"/>
          <w:sz w:val="18"/>
          <w:szCs w:val="20"/>
        </w:rPr>
        <w:t xml:space="preserve"> odborných pracovníků je </w:t>
      </w:r>
      <w:r>
        <w:rPr>
          <w:rFonts w:ascii="Arial" w:hAnsi="Arial" w:cs="Arial"/>
          <w:i/>
          <w:color w:val="000000"/>
          <w:sz w:val="18"/>
          <w:szCs w:val="20"/>
        </w:rPr>
        <w:t>28</w:t>
      </w:r>
      <w:r w:rsidRPr="00C85C69">
        <w:rPr>
          <w:rFonts w:ascii="Arial" w:hAnsi="Arial" w:cs="Arial"/>
          <w:i/>
          <w:color w:val="000000"/>
          <w:sz w:val="18"/>
          <w:szCs w:val="20"/>
        </w:rPr>
        <w:t xml:space="preserve"> partnerů, 2</w:t>
      </w:r>
      <w:r>
        <w:rPr>
          <w:rFonts w:ascii="Arial" w:hAnsi="Arial" w:cs="Arial"/>
          <w:i/>
          <w:color w:val="000000"/>
          <w:sz w:val="18"/>
          <w:szCs w:val="20"/>
        </w:rPr>
        <w:t>8</w:t>
      </w:r>
      <w:r w:rsidRPr="00C85C69">
        <w:rPr>
          <w:rFonts w:ascii="Arial" w:hAnsi="Arial" w:cs="Arial"/>
          <w:i/>
          <w:color w:val="000000"/>
          <w:sz w:val="18"/>
          <w:szCs w:val="20"/>
        </w:rPr>
        <w:t xml:space="preserve"> statutárních auditorů, </w:t>
      </w:r>
      <w:r>
        <w:rPr>
          <w:rFonts w:ascii="Arial" w:hAnsi="Arial" w:cs="Arial"/>
          <w:i/>
          <w:color w:val="000000"/>
          <w:sz w:val="18"/>
          <w:szCs w:val="20"/>
        </w:rPr>
        <w:t>106</w:t>
      </w:r>
      <w:r w:rsidRPr="00C85C69">
        <w:rPr>
          <w:rFonts w:ascii="Arial" w:hAnsi="Arial" w:cs="Arial"/>
          <w:i/>
          <w:color w:val="000000"/>
          <w:sz w:val="18"/>
          <w:szCs w:val="20"/>
        </w:rPr>
        <w:t xml:space="preserve"> certifikovaných účetních a </w:t>
      </w:r>
      <w:r>
        <w:rPr>
          <w:rFonts w:ascii="Arial" w:hAnsi="Arial" w:cs="Arial"/>
          <w:i/>
          <w:color w:val="000000"/>
          <w:sz w:val="18"/>
          <w:szCs w:val="20"/>
        </w:rPr>
        <w:t>67</w:t>
      </w:r>
      <w:r w:rsidRPr="00C85C69">
        <w:rPr>
          <w:rFonts w:ascii="Arial" w:hAnsi="Arial" w:cs="Arial"/>
          <w:i/>
          <w:color w:val="000000"/>
          <w:sz w:val="18"/>
          <w:szCs w:val="20"/>
        </w:rPr>
        <w:t xml:space="preserve"> daňových poradců. V KPMG Česká republika působí celkem 22 kvalifikovaných zahraničních odborníků</w:t>
      </w:r>
      <w:r>
        <w:rPr>
          <w:rFonts w:ascii="Arial" w:hAnsi="Arial" w:cs="Arial"/>
          <w:i/>
          <w:color w:val="000000"/>
          <w:sz w:val="18"/>
          <w:szCs w:val="20"/>
        </w:rPr>
        <w:t>.</w:t>
      </w:r>
    </w:p>
    <w:p w:rsidR="00CA1750" w:rsidRDefault="00CA1750" w:rsidP="0064431D">
      <w:pPr>
        <w:spacing w:after="0"/>
        <w:ind w:left="-993"/>
        <w:rPr>
          <w:rFonts w:ascii="Arial" w:hAnsi="Arial" w:cs="Arial"/>
          <w:i/>
          <w:color w:val="000000"/>
          <w:sz w:val="18"/>
          <w:szCs w:val="20"/>
        </w:rPr>
      </w:pPr>
    </w:p>
    <w:p w:rsidR="00CA1750" w:rsidRDefault="00682561" w:rsidP="005E298E">
      <w:pPr>
        <w:spacing w:after="0"/>
        <w:ind w:left="-993"/>
        <w:rPr>
          <w:rFonts w:ascii="Arial" w:hAnsi="Arial" w:cs="Arial"/>
          <w:i/>
          <w:color w:val="000000"/>
          <w:sz w:val="18"/>
          <w:szCs w:val="20"/>
        </w:rPr>
      </w:pPr>
      <w:hyperlink r:id="rId19" w:history="1">
        <w:r w:rsidR="00CA1750" w:rsidRPr="00381C37">
          <w:rPr>
            <w:rStyle w:val="Hypertextovodkaz"/>
            <w:rFonts w:ascii="Arial" w:hAnsi="Arial" w:cs="Arial"/>
            <w:i/>
            <w:sz w:val="18"/>
            <w:szCs w:val="20"/>
          </w:rPr>
          <w:t>KPMG</w:t>
        </w:r>
      </w:hyperlink>
      <w:r w:rsidR="00CA1750">
        <w:rPr>
          <w:rFonts w:ascii="Arial" w:hAnsi="Arial" w:cs="Arial"/>
          <w:i/>
          <w:color w:val="000000"/>
          <w:sz w:val="18"/>
          <w:szCs w:val="20"/>
        </w:rPr>
        <w:t xml:space="preserve"> je celosvětová síť poradenských společností poskytujících služby v oblasti auditu, daní a poradenství. V jejích členských společnostech pracuje více než 152 000 pracovníků ve 156 zemích. Nezávislé členské společnosti sítě KPMG jsou přidružené ke KPMG International Cooperative („KPMG International“), švýcarské organizační jednotce. Každá členská společnost celosvětové sítě KPMG je právně samostatná a oddělená jednotka a tak se označuje.</w:t>
      </w:r>
    </w:p>
    <w:p w:rsidR="00CA1750" w:rsidRPr="00100EC9" w:rsidRDefault="00CA1750" w:rsidP="00100EC9">
      <w:pPr>
        <w:spacing w:after="0"/>
        <w:ind w:left="-993"/>
        <w:rPr>
          <w:rFonts w:ascii="Arial" w:hAnsi="Arial" w:cs="Arial"/>
          <w:i/>
          <w:color w:val="000000"/>
          <w:sz w:val="18"/>
          <w:szCs w:val="20"/>
        </w:rPr>
      </w:pPr>
    </w:p>
    <w:sectPr w:rsidR="00CA1750" w:rsidRPr="00100EC9" w:rsidSect="008C570D">
      <w:headerReference w:type="default" r:id="rId20"/>
      <w:footerReference w:type="default" r:id="rId21"/>
      <w:pgSz w:w="11907" w:h="16840" w:code="9"/>
      <w:pgMar w:top="2092" w:right="850" w:bottom="1418" w:left="1418" w:header="709" w:footer="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561" w:rsidRDefault="00682561" w:rsidP="0083372E">
      <w:pPr>
        <w:spacing w:after="0" w:line="240" w:lineRule="auto"/>
      </w:pPr>
      <w:r>
        <w:separator/>
      </w:r>
    </w:p>
  </w:endnote>
  <w:endnote w:type="continuationSeparator" w:id="0">
    <w:p w:rsidR="00682561" w:rsidRDefault="00682561" w:rsidP="0083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750" w:rsidRDefault="00016FE6">
    <w:pPr>
      <w:pStyle w:val="Zpat"/>
      <w:jc w:val="center"/>
    </w:pPr>
    <w:r w:rsidRPr="00582FCF">
      <w:rPr>
        <w:rFonts w:ascii="Arial" w:hAnsi="Arial" w:cs="Arial"/>
        <w:sz w:val="20"/>
      </w:rPr>
      <w:fldChar w:fldCharType="begin"/>
    </w:r>
    <w:r w:rsidR="00CA1750" w:rsidRPr="00582FCF">
      <w:rPr>
        <w:rFonts w:ascii="Arial" w:hAnsi="Arial" w:cs="Arial"/>
        <w:sz w:val="20"/>
      </w:rPr>
      <w:instrText xml:space="preserve"> PAGE   \* MERGEFORMAT </w:instrText>
    </w:r>
    <w:r w:rsidRPr="00582FCF">
      <w:rPr>
        <w:rFonts w:ascii="Arial" w:hAnsi="Arial" w:cs="Arial"/>
        <w:sz w:val="20"/>
      </w:rPr>
      <w:fldChar w:fldCharType="separate"/>
    </w:r>
    <w:r w:rsidR="00035D4C">
      <w:rPr>
        <w:rFonts w:ascii="Arial" w:hAnsi="Arial" w:cs="Arial"/>
        <w:noProof/>
        <w:sz w:val="20"/>
      </w:rPr>
      <w:t>1</w:t>
    </w:r>
    <w:r w:rsidRPr="00582FCF">
      <w:rPr>
        <w:rFonts w:ascii="Arial" w:hAnsi="Arial" w:cs="Arial"/>
        <w:sz w:val="20"/>
      </w:rPr>
      <w:fldChar w:fldCharType="end"/>
    </w:r>
  </w:p>
  <w:p w:rsidR="00CA1750" w:rsidRDefault="00CA175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561" w:rsidRDefault="00682561" w:rsidP="0083372E">
      <w:pPr>
        <w:spacing w:after="0" w:line="240" w:lineRule="auto"/>
      </w:pPr>
      <w:r>
        <w:separator/>
      </w:r>
    </w:p>
  </w:footnote>
  <w:footnote w:type="continuationSeparator" w:id="0">
    <w:p w:rsidR="00682561" w:rsidRDefault="00682561" w:rsidP="0083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750" w:rsidRDefault="00035D4C">
    <w:pPr>
      <w:pStyle w:val="Zhlav"/>
    </w:pPr>
    <w:r>
      <w:rPr>
        <w:noProof/>
        <w:lang w:eastAsia="cs-CZ"/>
      </w:rPr>
      <w:drawing>
        <wp:anchor distT="0" distB="0" distL="114300" distR="114300" simplePos="0" relativeHeight="251658752" behindDoc="0" locked="0" layoutInCell="1" allowOverlap="1">
          <wp:simplePos x="0" y="0"/>
          <wp:positionH relativeFrom="column">
            <wp:posOffset>-671830</wp:posOffset>
          </wp:positionH>
          <wp:positionV relativeFrom="paragraph">
            <wp:posOffset>-240665</wp:posOffset>
          </wp:positionV>
          <wp:extent cx="1676400" cy="904875"/>
          <wp:effectExtent l="0" t="0" r="0" b="0"/>
          <wp:wrapNone/>
          <wp:docPr id="3" name="Picture 6" descr="KPMG_Plus_Straplin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PMG_Plus_Strapline_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20396" distR="114300" simplePos="0" relativeHeight="251656704" behindDoc="1" locked="0" layoutInCell="1" allowOverlap="1">
              <wp:simplePos x="0" y="0"/>
              <wp:positionH relativeFrom="column">
                <wp:posOffset>-729234</wp:posOffset>
              </wp:positionH>
              <wp:positionV relativeFrom="paragraph">
                <wp:posOffset>-307086</wp:posOffset>
              </wp:positionV>
              <wp:extent cx="7200265" cy="1114425"/>
              <wp:effectExtent l="0" t="0" r="635" b="9525"/>
              <wp:wrapNone/>
              <wp:docPr id="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gray">
                      <a:xfrm>
                        <a:off x="0" y="0"/>
                        <a:ext cx="6854825" cy="1065213"/>
                      </a:xfrm>
                      <a:custGeom>
                        <a:avLst/>
                        <a:gdLst/>
                        <a:ahLst/>
                        <a:cxnLst>
                          <a:cxn ang="0">
                            <a:pos x="4318" y="0"/>
                          </a:cxn>
                          <a:cxn ang="0">
                            <a:pos x="0" y="0"/>
                          </a:cxn>
                          <a:cxn ang="0">
                            <a:pos x="0" y="671"/>
                          </a:cxn>
                          <a:cxn ang="0">
                            <a:pos x="4122" y="671"/>
                          </a:cxn>
                          <a:cxn ang="0">
                            <a:pos x="4318" y="9"/>
                          </a:cxn>
                          <a:cxn ang="0">
                            <a:pos x="4318" y="0"/>
                          </a:cxn>
                        </a:cxnLst>
                        <a:rect l="0" t="0" r="r" b="b"/>
                        <a:pathLst>
                          <a:path w="4318" h="671">
                            <a:moveTo>
                              <a:pt x="4318" y="0"/>
                            </a:moveTo>
                            <a:lnTo>
                              <a:pt x="0" y="0"/>
                            </a:lnTo>
                            <a:lnTo>
                              <a:pt x="0" y="671"/>
                            </a:lnTo>
                            <a:lnTo>
                              <a:pt x="4122" y="671"/>
                            </a:lnTo>
                            <a:lnTo>
                              <a:pt x="4318" y="9"/>
                            </a:lnTo>
                            <a:lnTo>
                              <a:pt x="4318" y="0"/>
                            </a:lnTo>
                            <a:close/>
                          </a:path>
                        </a:pathLst>
                      </a:custGeom>
                      <a:gradFill flip="none" rotWithShape="1">
                        <a:gsLst>
                          <a:gs pos="0">
                            <a:srgbClr val="00257A">
                              <a:alpha val="90000"/>
                            </a:srgbClr>
                          </a:gs>
                          <a:gs pos="35000">
                            <a:srgbClr val="00338D">
                              <a:alpha val="90000"/>
                            </a:srgbClr>
                          </a:gs>
                          <a:gs pos="100000">
                            <a:srgbClr val="009FDA">
                              <a:alpha val="90000"/>
                            </a:srgbClr>
                          </a:gs>
                        </a:gsLst>
                        <a:lin ang="0" scaled="1"/>
                        <a:tileRect/>
                      </a:gradFill>
                      <a:ln w="9525" cap="flat" cmpd="sng">
                        <a:no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 id="Freeform 20" o:spid="_x0000_s1026" style="position:absolute;margin-left:-57.4pt;margin-top:-24.2pt;width:566.95pt;height:87.75pt;z-index:-251659776;visibility:visible;mso-wrap-style:square;mso-width-percent:0;mso-height-percent:0;mso-wrap-distance-left:9.48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18,671"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Wb7wIAAIYHAAAOAAAAZHJzL2Uyb0RvYy54bWysVU1vGyEQvVfqf0B7b/bDsWuvYkdVXfeS&#10;tlGTqmcM7C4qC4gh/vj3HVjjJG5aJVH3sLDM28fMm2G4uNz1imyEA2n0PCvPiowIzQyXup1nP25X&#10;76YZAU81p8poMc/2ArLLxds3F1tbi8p0RnHhCJJoqLd2nnXe2zrPgXWip3BmrNBobIzrqcdP1+bc&#10;0S2y9yqvimKSb43j1hkmAHB1ORizReRvGsH8t6YB4YmaZ+ibj28X3+vwzhcXtG4dtZ1kBzfoK7zo&#10;qdS46ZFqST0ld07+QdVL5gyYxp8x0+emaSQTMQaMpixOornpqBUxFhQH7FEm+H+07Ovm2hHJ5xkm&#10;StMeU7RyQgTBSRXl2VqoEXVjr10IEOyVYb8AdcsfWcIHIIast18MRxoUdR8l2TWuD39isGQXld8f&#10;lRc7TxguTqbj82k1zghDW1lMxlU5CrnJaZ1+Z3fgPwsTqejmCvyQOp5mtEszttM4DVvijNBQiUX0&#10;xBoIHpyPSgw2OYFbIOzvaKyal0En78uD6//kPS+rKlI/F5+8nj2LPaFjDlOMw3gQx+HhOD0WLiN4&#10;LNbDsbDUB02DNGFKtkm6DhOGQQZDbzbi1kSIf1Lbe4DSD4GPZU22NNpINmDu9UnWNA6oJ4RMgDQe&#10;gEmTpGAyp/EElqRLZqYMiKEogx6xOo8aBWkfVChWP19JpUijJLY1jc0vI874n9J38VhjmUcBWzhI&#10;3ALB+kylCq5df1SObGhoXEU1fv8hwqmyHR1WZwU+h1o4wKNLLYR0JLrROKDCygnlaDRdvo6yDBs/&#10;yTlbLV/kJop2jF/J41klwKgS2JPiQaK1l0p8x2odtE/ShpiUDlU5G8fWQVHoRlGPXaS3+DfoNgao&#10;TchEbBfWgV9S6AYFwSjJh1p35k7zCOkE5Z80J35vsYsNicM9esEzogRecmEWkZ5K9RwkRqligxHx&#10;QsJ8h0BSwwxXFdRrw/fXLq1jsx9SOVxM4TZ5+B3/vr8+F78BAAD//wMAUEsDBBQABgAIAAAAIQAZ&#10;AyxM4QAAAA0BAAAPAAAAZHJzL2Rvd25yZXYueG1sTI/NTsMwEITvSLyDtUhcUOu4ikKbxqkACVVC&#10;9EDgAdzY+RH2OrLdNrw92xPcZjWjmW+r3ewsO5sQR48SxDIDZrD1esRewtfn62INLCaFWlmPRsKP&#10;ibCrb28qVWp/wQ9zblLPqARjqSQMKU0l57EdjFNx6SeD5HU+OJXoDD3XQV2o3Fm+yrKCOzUiLQxq&#10;Mi+Dab+bk5MwdU3o2oe0b54Pb3t8d4WNRSHl/d38tAWWzJz+wnDFJ3SoienoT6gjsxIWQuTEnkjl&#10;6xzYNZKJjQB2JLV6FMDriv//ov4FAAD//wMAUEsBAi0AFAAGAAgAAAAhALaDOJL+AAAA4QEAABMA&#10;AAAAAAAAAAAAAAAAAAAAAFtDb250ZW50X1R5cGVzXS54bWxQSwECLQAUAAYACAAAACEAOP0h/9YA&#10;AACUAQAACwAAAAAAAAAAAAAAAAAvAQAAX3JlbHMvLnJlbHNQSwECLQAUAAYACAAAACEAQcslm+8C&#10;AACGBwAADgAAAAAAAAAAAAAAAAAuAgAAZHJzL2Uyb0RvYy54bWxQSwECLQAUAAYACAAAACEAGQMs&#10;TOEAAAANAQAADwAAAAAAAAAAAAAAAABJBQAAZHJzL2Rvd25yZXYueG1sUEsFBgAAAAAEAAQA8wAA&#10;AFcGAAAAAA==&#10;" path="m4318,l,,,671r4122,l4318,9r,-9xe" fillcolor="#00257a" stroked="f">
              <v:fill opacity="58982f" color2="#009fda" o:opacity2="58982f" rotate="t" angle="90" colors="0 #00257a;22938f #00338d;1 #009fda" focus="100%" type="gradient"/>
              <v:path arrowok="t" o:connecttype="custom" o:connectlocs="4318,0;0,0;0,671;4122,671;4318,9;4318,0" o:connectangles="0,0,0,0,0,0"/>
            </v:shape>
          </w:pict>
        </mc:Fallback>
      </mc:AlternateContent>
    </w:r>
    <w:r>
      <w:rPr>
        <w:noProof/>
        <w:lang w:eastAsia="cs-CZ"/>
      </w:rPr>
      <mc:AlternateContent>
        <mc:Choice Requires="wps">
          <w:drawing>
            <wp:anchor distT="0" distB="0" distL="114300" distR="114300" simplePos="0" relativeHeight="251657728" behindDoc="0" locked="0" layoutInCell="1" allowOverlap="1">
              <wp:simplePos x="0" y="0"/>
              <wp:positionH relativeFrom="column">
                <wp:posOffset>3842385</wp:posOffset>
              </wp:positionH>
              <wp:positionV relativeFrom="paragraph">
                <wp:posOffset>-57785</wp:posOffset>
              </wp:positionV>
              <wp:extent cx="2413635" cy="606425"/>
              <wp:effectExtent l="3810" t="0" r="190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750" w:rsidRPr="00D400AA" w:rsidRDefault="00CA1750" w:rsidP="005A2015">
                          <w:pPr>
                            <w:spacing w:after="0"/>
                            <w:rPr>
                              <w:rFonts w:ascii="Arial" w:hAnsi="Arial" w:cs="Arial"/>
                              <w:b/>
                              <w:color w:val="FFFFFF"/>
                              <w:sz w:val="36"/>
                              <w:szCs w:val="32"/>
                            </w:rPr>
                          </w:pPr>
                          <w:r w:rsidRPr="00D400AA">
                            <w:rPr>
                              <w:rFonts w:ascii="Arial" w:hAnsi="Arial" w:cs="Arial"/>
                              <w:b/>
                              <w:color w:val="FFFFFF"/>
                              <w:sz w:val="36"/>
                              <w:szCs w:val="32"/>
                            </w:rPr>
                            <w:t>ZPRÁVA PRO TISK</w:t>
                          </w:r>
                        </w:p>
                        <w:p w:rsidR="00CA1750" w:rsidRPr="00D400AA" w:rsidRDefault="00CA1750" w:rsidP="005A2015">
                          <w:pPr>
                            <w:spacing w:after="0"/>
                            <w:rPr>
                              <w:rFonts w:ascii="Arial" w:hAnsi="Arial" w:cs="Arial"/>
                              <w:color w:val="FFFFFF"/>
                              <w:sz w:val="24"/>
                            </w:rPr>
                          </w:pPr>
                          <w:r w:rsidRPr="00D400AA">
                            <w:rPr>
                              <w:rFonts w:ascii="Arial" w:hAnsi="Arial" w:cs="Arial"/>
                              <w:color w:val="FFFFFF"/>
                              <w:sz w:val="24"/>
                            </w:rPr>
                            <w:t>KPMG V ČESKÉ REPUBLICE</w:t>
                          </w:r>
                        </w:p>
                        <w:p w:rsidR="00CA1750" w:rsidRPr="00D400AA" w:rsidRDefault="00CA1750">
                          <w:pPr>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2.55pt;margin-top:-4.55pt;width:190.05pt;height:4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DstAIAALk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OI0E7aNEj2xt0J/doYqsz9DoFp4ce3Mwejq2nZar7e1l+1UjIZUPFht0qJYeG0QqyC+1N/+zq&#10;iKMtyHr4ICsIQ7dGOqB9rToLCMVAgA5dejp1xqZSwmFEwkk8mWJUgi0OYhJNXQiaHm/3Spt3THbI&#10;LjKsoPMOne7utbHZ0PToYoMJWfC2dd1vxcUBOI4nEBuuWpvNwjXzRxIkq/lqTjwSxSuPBHnu3RZL&#10;4sVFOJvmk3y5zMOfNm5I0oZXFRM2zFFYIfmzxh0kPkriJC0tW15ZOJuSVpv1slVoR0HYhfsOBTlz&#10;8y/TcEUALi8ohREJ7qLEK+L5zCMFmXrJLJh7QZjcJXFAEpIXl5TuuWD/TgkNGU6m0EdH57fcAve9&#10;5kbTjhsYHS3vMjw/OdHUSnAlKtdaQ3k7rs9KYdN/LgW0+9hoJ1ir0VGtZr/eA4pV8VpWTyBdJUFZ&#10;oE+Yd7BopPqO0QCzI8P625YqhlH7XoD8k5AQO2zchkxnEWzUuWV9bqGiBKgMG4zG5dKMA2rbK75p&#10;INL44IS8hSdTc6fm56wODw3mgyN1mGV2AJ3vndfzxF38AgAA//8DAFBLAwQUAAYACAAAACEAPE1n&#10;K94AAAAJAQAADwAAAGRycy9kb3ducmV2LnhtbEyPwU7DMAyG70i8Q2Qkbluyaa3aru6EQFxBbIDE&#10;LWuytlrjVE22lrfHnOBkWf70+/vL3ex6cbVj6DwhrJYKhKXam44ahPfD8yIDEaImo3tPFuHbBthV&#10;tzelLoyf6M1e97ERHEKh0AhtjEMhZahb63RY+sES305+dDryOjbSjHricNfLtVKpdLoj/tDqwT62&#10;tj7vLw7h4+X09blRr82TS4bJz0qSyyXi/d38sAUR7Rz/YPjVZ3Wo2OnoL2SC6BFSlawYRVjkPBnI&#10;s2QN4oiQpRuQVSn/N6h+AAAA//8DAFBLAQItABQABgAIAAAAIQC2gziS/gAAAOEBAAATAAAAAAAA&#10;AAAAAAAAAAAAAABbQ29udGVudF9UeXBlc10ueG1sUEsBAi0AFAAGAAgAAAAhADj9If/WAAAAlAEA&#10;AAsAAAAAAAAAAAAAAAAALwEAAF9yZWxzLy5yZWxzUEsBAi0AFAAGAAgAAAAhAJ4RAOy0AgAAuQUA&#10;AA4AAAAAAAAAAAAAAAAALgIAAGRycy9lMm9Eb2MueG1sUEsBAi0AFAAGAAgAAAAhADxNZyveAAAA&#10;CQEAAA8AAAAAAAAAAAAAAAAADgUAAGRycy9kb3ducmV2LnhtbFBLBQYAAAAABAAEAPMAAAAZBgAA&#10;AAA=&#10;" filled="f" stroked="f">
              <v:textbox>
                <w:txbxContent>
                  <w:p w:rsidR="00CA1750" w:rsidRPr="00D400AA" w:rsidRDefault="00CA1750" w:rsidP="005A2015">
                    <w:pPr>
                      <w:spacing w:after="0"/>
                      <w:rPr>
                        <w:rFonts w:ascii="Arial" w:hAnsi="Arial" w:cs="Arial"/>
                        <w:b/>
                        <w:color w:val="FFFFFF"/>
                        <w:sz w:val="36"/>
                        <w:szCs w:val="32"/>
                      </w:rPr>
                    </w:pPr>
                    <w:r w:rsidRPr="00D400AA">
                      <w:rPr>
                        <w:rFonts w:ascii="Arial" w:hAnsi="Arial" w:cs="Arial"/>
                        <w:b/>
                        <w:color w:val="FFFFFF"/>
                        <w:sz w:val="36"/>
                        <w:szCs w:val="32"/>
                      </w:rPr>
                      <w:t>ZPRÁVA PRO TISK</w:t>
                    </w:r>
                  </w:p>
                  <w:p w:rsidR="00CA1750" w:rsidRPr="00D400AA" w:rsidRDefault="00CA1750" w:rsidP="005A2015">
                    <w:pPr>
                      <w:spacing w:after="0"/>
                      <w:rPr>
                        <w:rFonts w:ascii="Arial" w:hAnsi="Arial" w:cs="Arial"/>
                        <w:color w:val="FFFFFF"/>
                        <w:sz w:val="24"/>
                      </w:rPr>
                    </w:pPr>
                    <w:r w:rsidRPr="00D400AA">
                      <w:rPr>
                        <w:rFonts w:ascii="Arial" w:hAnsi="Arial" w:cs="Arial"/>
                        <w:color w:val="FFFFFF"/>
                        <w:sz w:val="24"/>
                      </w:rPr>
                      <w:t>KPMG V ČESKÉ REPUBLICE</w:t>
                    </w:r>
                  </w:p>
                  <w:p w:rsidR="00CA1750" w:rsidRPr="00D400AA" w:rsidRDefault="00CA1750">
                    <w:pPr>
                      <w:rPr>
                        <w:rFonts w:ascii="Arial" w:hAnsi="Arial" w:cs="Arial"/>
                        <w:b/>
                        <w:color w:val="FFFFFF"/>
                        <w:sz w:val="36"/>
                        <w:szCs w:val="3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E38CB"/>
    <w:multiLevelType w:val="hybridMultilevel"/>
    <w:tmpl w:val="B3E28A3A"/>
    <w:lvl w:ilvl="0" w:tplc="41C2399E">
      <w:start w:val="1"/>
      <w:numFmt w:val="bullet"/>
      <w:lvlText w:val=""/>
      <w:lvlJc w:val="left"/>
      <w:pPr>
        <w:ind w:left="720" w:hanging="360"/>
      </w:pPr>
      <w:rPr>
        <w:rFonts w:ascii="Wingdings" w:hAnsi="Wingdings" w:hint="default"/>
        <w:color w:val="00338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72E"/>
    <w:rsid w:val="000023EC"/>
    <w:rsid w:val="00002F08"/>
    <w:rsid w:val="00016FE6"/>
    <w:rsid w:val="0002108F"/>
    <w:rsid w:val="00035D4C"/>
    <w:rsid w:val="00036384"/>
    <w:rsid w:val="00053268"/>
    <w:rsid w:val="000816BD"/>
    <w:rsid w:val="00083545"/>
    <w:rsid w:val="00083F60"/>
    <w:rsid w:val="00096A06"/>
    <w:rsid w:val="000A7109"/>
    <w:rsid w:val="000C0E2B"/>
    <w:rsid w:val="000C2A1E"/>
    <w:rsid w:val="000C426D"/>
    <w:rsid w:val="000D0F91"/>
    <w:rsid w:val="000D2352"/>
    <w:rsid w:val="000D71A2"/>
    <w:rsid w:val="000F5EDE"/>
    <w:rsid w:val="000F5F1C"/>
    <w:rsid w:val="001003FB"/>
    <w:rsid w:val="00100EC9"/>
    <w:rsid w:val="00112BF2"/>
    <w:rsid w:val="00121CBB"/>
    <w:rsid w:val="001417D1"/>
    <w:rsid w:val="001433C4"/>
    <w:rsid w:val="001444F8"/>
    <w:rsid w:val="001848C2"/>
    <w:rsid w:val="00193A96"/>
    <w:rsid w:val="00194B90"/>
    <w:rsid w:val="00197037"/>
    <w:rsid w:val="00197A6B"/>
    <w:rsid w:val="001A028F"/>
    <w:rsid w:val="001B7757"/>
    <w:rsid w:val="001C15D2"/>
    <w:rsid w:val="001C2DE9"/>
    <w:rsid w:val="001D25FC"/>
    <w:rsid w:val="001E4695"/>
    <w:rsid w:val="001F3192"/>
    <w:rsid w:val="00210AD8"/>
    <w:rsid w:val="002162A8"/>
    <w:rsid w:val="002336C8"/>
    <w:rsid w:val="00247A5A"/>
    <w:rsid w:val="00252464"/>
    <w:rsid w:val="00257448"/>
    <w:rsid w:val="0027080B"/>
    <w:rsid w:val="002B0919"/>
    <w:rsid w:val="002B096A"/>
    <w:rsid w:val="002C4337"/>
    <w:rsid w:val="002D0FB0"/>
    <w:rsid w:val="002D25B0"/>
    <w:rsid w:val="00302EDA"/>
    <w:rsid w:val="00307E29"/>
    <w:rsid w:val="00312CE8"/>
    <w:rsid w:val="003247C4"/>
    <w:rsid w:val="003265B5"/>
    <w:rsid w:val="00331F9E"/>
    <w:rsid w:val="0033532B"/>
    <w:rsid w:val="00344FB5"/>
    <w:rsid w:val="00350031"/>
    <w:rsid w:val="00366E79"/>
    <w:rsid w:val="00381C37"/>
    <w:rsid w:val="00382618"/>
    <w:rsid w:val="00392282"/>
    <w:rsid w:val="003925D1"/>
    <w:rsid w:val="003955F5"/>
    <w:rsid w:val="003B10ED"/>
    <w:rsid w:val="003B273C"/>
    <w:rsid w:val="003B3A95"/>
    <w:rsid w:val="003B7D6F"/>
    <w:rsid w:val="003C729F"/>
    <w:rsid w:val="003D25C3"/>
    <w:rsid w:val="003E33F1"/>
    <w:rsid w:val="003E3C5A"/>
    <w:rsid w:val="003F10D6"/>
    <w:rsid w:val="00406CED"/>
    <w:rsid w:val="00407328"/>
    <w:rsid w:val="00411B16"/>
    <w:rsid w:val="00413B8B"/>
    <w:rsid w:val="004164DB"/>
    <w:rsid w:val="00430D35"/>
    <w:rsid w:val="004322E9"/>
    <w:rsid w:val="00443C75"/>
    <w:rsid w:val="0044698A"/>
    <w:rsid w:val="004479A0"/>
    <w:rsid w:val="00455AD3"/>
    <w:rsid w:val="004564A0"/>
    <w:rsid w:val="004779D4"/>
    <w:rsid w:val="00477C79"/>
    <w:rsid w:val="004809B7"/>
    <w:rsid w:val="00491C7B"/>
    <w:rsid w:val="00491FB4"/>
    <w:rsid w:val="00492366"/>
    <w:rsid w:val="004B2A83"/>
    <w:rsid w:val="004B4B41"/>
    <w:rsid w:val="004B59E2"/>
    <w:rsid w:val="004B5B66"/>
    <w:rsid w:val="004C2925"/>
    <w:rsid w:val="004D079E"/>
    <w:rsid w:val="004E65A1"/>
    <w:rsid w:val="004F40F4"/>
    <w:rsid w:val="005131CC"/>
    <w:rsid w:val="00513ED3"/>
    <w:rsid w:val="00516D5F"/>
    <w:rsid w:val="00531539"/>
    <w:rsid w:val="00533F2B"/>
    <w:rsid w:val="005426F2"/>
    <w:rsid w:val="0054537C"/>
    <w:rsid w:val="00545967"/>
    <w:rsid w:val="00573F4C"/>
    <w:rsid w:val="00574927"/>
    <w:rsid w:val="00582FCF"/>
    <w:rsid w:val="00584EC7"/>
    <w:rsid w:val="005A0BE9"/>
    <w:rsid w:val="005A1F1C"/>
    <w:rsid w:val="005A2015"/>
    <w:rsid w:val="005A3F21"/>
    <w:rsid w:val="005A639D"/>
    <w:rsid w:val="005A7796"/>
    <w:rsid w:val="005C7FD5"/>
    <w:rsid w:val="005E298E"/>
    <w:rsid w:val="006052CA"/>
    <w:rsid w:val="006109A3"/>
    <w:rsid w:val="00612E06"/>
    <w:rsid w:val="00613857"/>
    <w:rsid w:val="00622F5A"/>
    <w:rsid w:val="00633D45"/>
    <w:rsid w:val="0064431D"/>
    <w:rsid w:val="00654C30"/>
    <w:rsid w:val="00655812"/>
    <w:rsid w:val="00662228"/>
    <w:rsid w:val="006765C3"/>
    <w:rsid w:val="00682561"/>
    <w:rsid w:val="00684852"/>
    <w:rsid w:val="0068630A"/>
    <w:rsid w:val="006907AA"/>
    <w:rsid w:val="006A627F"/>
    <w:rsid w:val="006C0C52"/>
    <w:rsid w:val="006C6667"/>
    <w:rsid w:val="006E24F7"/>
    <w:rsid w:val="006E373A"/>
    <w:rsid w:val="006F4D02"/>
    <w:rsid w:val="006F688B"/>
    <w:rsid w:val="006F6E7D"/>
    <w:rsid w:val="00701E8B"/>
    <w:rsid w:val="007063DA"/>
    <w:rsid w:val="007109A9"/>
    <w:rsid w:val="00711BAD"/>
    <w:rsid w:val="00712204"/>
    <w:rsid w:val="007163E3"/>
    <w:rsid w:val="00736278"/>
    <w:rsid w:val="00750D37"/>
    <w:rsid w:val="00753D75"/>
    <w:rsid w:val="007608D5"/>
    <w:rsid w:val="0076132D"/>
    <w:rsid w:val="00767696"/>
    <w:rsid w:val="00780FAD"/>
    <w:rsid w:val="007F10F8"/>
    <w:rsid w:val="00803B83"/>
    <w:rsid w:val="008074DC"/>
    <w:rsid w:val="008265D0"/>
    <w:rsid w:val="0083055E"/>
    <w:rsid w:val="00832E64"/>
    <w:rsid w:val="0083372E"/>
    <w:rsid w:val="00840209"/>
    <w:rsid w:val="00866626"/>
    <w:rsid w:val="00884B17"/>
    <w:rsid w:val="008A0D9A"/>
    <w:rsid w:val="008C2C4D"/>
    <w:rsid w:val="008C570D"/>
    <w:rsid w:val="008D2A50"/>
    <w:rsid w:val="008D54A2"/>
    <w:rsid w:val="008E2CD7"/>
    <w:rsid w:val="008F4C63"/>
    <w:rsid w:val="008F58F7"/>
    <w:rsid w:val="009020F7"/>
    <w:rsid w:val="00912BCD"/>
    <w:rsid w:val="00913302"/>
    <w:rsid w:val="00935547"/>
    <w:rsid w:val="00950068"/>
    <w:rsid w:val="00955ED4"/>
    <w:rsid w:val="00965D4B"/>
    <w:rsid w:val="00986DBE"/>
    <w:rsid w:val="00994F56"/>
    <w:rsid w:val="009A1A4E"/>
    <w:rsid w:val="009A203F"/>
    <w:rsid w:val="009D75BD"/>
    <w:rsid w:val="009E4EE8"/>
    <w:rsid w:val="00A03FA6"/>
    <w:rsid w:val="00A04C19"/>
    <w:rsid w:val="00A23B6F"/>
    <w:rsid w:val="00A45935"/>
    <w:rsid w:val="00A45B60"/>
    <w:rsid w:val="00A60D33"/>
    <w:rsid w:val="00A65FBB"/>
    <w:rsid w:val="00A71CF8"/>
    <w:rsid w:val="00A73374"/>
    <w:rsid w:val="00A7397A"/>
    <w:rsid w:val="00A7526E"/>
    <w:rsid w:val="00AA5326"/>
    <w:rsid w:val="00AB32F6"/>
    <w:rsid w:val="00AB4C9E"/>
    <w:rsid w:val="00AC570E"/>
    <w:rsid w:val="00AD6F04"/>
    <w:rsid w:val="00AE126A"/>
    <w:rsid w:val="00AF283A"/>
    <w:rsid w:val="00AF4D4A"/>
    <w:rsid w:val="00B16106"/>
    <w:rsid w:val="00B2622E"/>
    <w:rsid w:val="00B34512"/>
    <w:rsid w:val="00B40D2B"/>
    <w:rsid w:val="00B548F6"/>
    <w:rsid w:val="00B615A4"/>
    <w:rsid w:val="00B6575D"/>
    <w:rsid w:val="00B72982"/>
    <w:rsid w:val="00B7715B"/>
    <w:rsid w:val="00B85070"/>
    <w:rsid w:val="00BB019B"/>
    <w:rsid w:val="00BB7C18"/>
    <w:rsid w:val="00BC5698"/>
    <w:rsid w:val="00BD3810"/>
    <w:rsid w:val="00BD784A"/>
    <w:rsid w:val="00BE0049"/>
    <w:rsid w:val="00BE1C7A"/>
    <w:rsid w:val="00BE7EA6"/>
    <w:rsid w:val="00C1060A"/>
    <w:rsid w:val="00C1494D"/>
    <w:rsid w:val="00C40F42"/>
    <w:rsid w:val="00C42FF9"/>
    <w:rsid w:val="00C43289"/>
    <w:rsid w:val="00C63069"/>
    <w:rsid w:val="00C81118"/>
    <w:rsid w:val="00C815ED"/>
    <w:rsid w:val="00C85C69"/>
    <w:rsid w:val="00C931C5"/>
    <w:rsid w:val="00C95D7A"/>
    <w:rsid w:val="00C97D4B"/>
    <w:rsid w:val="00CA1750"/>
    <w:rsid w:val="00CA1DFF"/>
    <w:rsid w:val="00CA252D"/>
    <w:rsid w:val="00CA7606"/>
    <w:rsid w:val="00CB52B8"/>
    <w:rsid w:val="00CB7C28"/>
    <w:rsid w:val="00CC3207"/>
    <w:rsid w:val="00CE05AF"/>
    <w:rsid w:val="00CE1B7F"/>
    <w:rsid w:val="00CE1D29"/>
    <w:rsid w:val="00CF1298"/>
    <w:rsid w:val="00CF72F9"/>
    <w:rsid w:val="00CF7FD7"/>
    <w:rsid w:val="00D1615C"/>
    <w:rsid w:val="00D2225D"/>
    <w:rsid w:val="00D400AA"/>
    <w:rsid w:val="00D402A7"/>
    <w:rsid w:val="00D5085A"/>
    <w:rsid w:val="00D54C9E"/>
    <w:rsid w:val="00D8588D"/>
    <w:rsid w:val="00D87051"/>
    <w:rsid w:val="00D90A8A"/>
    <w:rsid w:val="00DA5D3B"/>
    <w:rsid w:val="00DB2BEA"/>
    <w:rsid w:val="00DC3166"/>
    <w:rsid w:val="00DD0CE8"/>
    <w:rsid w:val="00DE1619"/>
    <w:rsid w:val="00E12578"/>
    <w:rsid w:val="00E26E12"/>
    <w:rsid w:val="00E33ECB"/>
    <w:rsid w:val="00E42ECF"/>
    <w:rsid w:val="00E4694F"/>
    <w:rsid w:val="00E471C2"/>
    <w:rsid w:val="00E6281C"/>
    <w:rsid w:val="00E67F8C"/>
    <w:rsid w:val="00E75926"/>
    <w:rsid w:val="00E86202"/>
    <w:rsid w:val="00E93E2F"/>
    <w:rsid w:val="00EA5628"/>
    <w:rsid w:val="00EB7CA9"/>
    <w:rsid w:val="00EC6F85"/>
    <w:rsid w:val="00EC7807"/>
    <w:rsid w:val="00EF1CE1"/>
    <w:rsid w:val="00F05123"/>
    <w:rsid w:val="00F2326C"/>
    <w:rsid w:val="00F233EA"/>
    <w:rsid w:val="00F264C4"/>
    <w:rsid w:val="00F339B4"/>
    <w:rsid w:val="00F3700D"/>
    <w:rsid w:val="00F42114"/>
    <w:rsid w:val="00F469F8"/>
    <w:rsid w:val="00F50863"/>
    <w:rsid w:val="00F814B1"/>
    <w:rsid w:val="00F9049E"/>
    <w:rsid w:val="00FA3DF0"/>
    <w:rsid w:val="00FA4F07"/>
    <w:rsid w:val="00FB1A22"/>
    <w:rsid w:val="00FB356D"/>
    <w:rsid w:val="00FB3D17"/>
    <w:rsid w:val="00FC4731"/>
    <w:rsid w:val="00FD2D60"/>
    <w:rsid w:val="00FD4ED7"/>
    <w:rsid w:val="00FE1E19"/>
    <w:rsid w:val="00FE29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6626"/>
    <w:pPr>
      <w:spacing w:after="200" w:line="276" w:lineRule="auto"/>
    </w:pPr>
    <w:rPr>
      <w:lang w:eastAsia="en-US"/>
    </w:rPr>
  </w:style>
  <w:style w:type="paragraph" w:styleId="Nadpis1">
    <w:name w:val="heading 1"/>
    <w:basedOn w:val="Normln"/>
    <w:next w:val="Normln"/>
    <w:link w:val="Nadpis1Char"/>
    <w:uiPriority w:val="99"/>
    <w:qFormat/>
    <w:rsid w:val="00193A96"/>
    <w:pPr>
      <w:keepNext/>
      <w:spacing w:before="240" w:after="60" w:line="360" w:lineRule="exact"/>
      <w:jc w:val="center"/>
      <w:outlineLvl w:val="0"/>
    </w:pPr>
    <w:rPr>
      <w:rFonts w:ascii="Times New Roman" w:eastAsia="Times New Roman" w:hAnsi="Times New Roman" w:cs="Arial"/>
      <w:b/>
      <w:bCs/>
      <w:spacing w:val="20"/>
      <w:kern w:val="32"/>
      <w:sz w:val="32"/>
      <w:szCs w:val="32"/>
    </w:rPr>
  </w:style>
  <w:style w:type="paragraph" w:styleId="Nadpis2">
    <w:name w:val="heading 2"/>
    <w:basedOn w:val="Normln"/>
    <w:next w:val="Normln"/>
    <w:link w:val="Nadpis2Char"/>
    <w:uiPriority w:val="99"/>
    <w:qFormat/>
    <w:rsid w:val="00193A96"/>
    <w:pPr>
      <w:keepNext/>
      <w:spacing w:before="240" w:after="60" w:line="320" w:lineRule="exact"/>
      <w:jc w:val="center"/>
      <w:outlineLvl w:val="1"/>
    </w:pPr>
    <w:rPr>
      <w:rFonts w:ascii="Times New Roman" w:eastAsia="Times New Roman" w:hAnsi="Times New Roman" w:cs="Arial"/>
      <w:bCs/>
      <w:i/>
      <w:iCs/>
      <w:spacing w:val="6"/>
      <w:sz w:val="28"/>
      <w:szCs w:val="28"/>
    </w:rPr>
  </w:style>
  <w:style w:type="paragraph" w:styleId="Nadpis3">
    <w:name w:val="heading 3"/>
    <w:basedOn w:val="Normln"/>
    <w:next w:val="Normln"/>
    <w:link w:val="Nadpis3Char"/>
    <w:uiPriority w:val="99"/>
    <w:qFormat/>
    <w:rsid w:val="00193A96"/>
    <w:pPr>
      <w:keepNext/>
      <w:spacing w:after="0" w:line="240" w:lineRule="auto"/>
      <w:outlineLvl w:val="2"/>
    </w:pPr>
    <w:rPr>
      <w:rFonts w:ascii="Times New Roman" w:eastAsia="Times New Roman" w:hAnsi="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93A96"/>
    <w:rPr>
      <w:rFonts w:ascii="Times New Roman" w:hAnsi="Times New Roman" w:cs="Arial"/>
      <w:b/>
      <w:bCs/>
      <w:spacing w:val="20"/>
      <w:kern w:val="32"/>
      <w:sz w:val="32"/>
      <w:szCs w:val="32"/>
      <w:lang w:val="cs-CZ"/>
    </w:rPr>
  </w:style>
  <w:style w:type="character" w:customStyle="1" w:styleId="Nadpis2Char">
    <w:name w:val="Nadpis 2 Char"/>
    <w:basedOn w:val="Standardnpsmoodstavce"/>
    <w:link w:val="Nadpis2"/>
    <w:uiPriority w:val="99"/>
    <w:locked/>
    <w:rsid w:val="00193A96"/>
    <w:rPr>
      <w:rFonts w:ascii="Times New Roman" w:hAnsi="Times New Roman" w:cs="Arial"/>
      <w:bCs/>
      <w:i/>
      <w:iCs/>
      <w:spacing w:val="6"/>
      <w:sz w:val="28"/>
      <w:szCs w:val="28"/>
      <w:lang w:val="cs-CZ"/>
    </w:rPr>
  </w:style>
  <w:style w:type="character" w:customStyle="1" w:styleId="Nadpis3Char">
    <w:name w:val="Nadpis 3 Char"/>
    <w:basedOn w:val="Standardnpsmoodstavce"/>
    <w:link w:val="Nadpis3"/>
    <w:uiPriority w:val="99"/>
    <w:locked/>
    <w:rsid w:val="00193A96"/>
    <w:rPr>
      <w:rFonts w:ascii="Times New Roman" w:hAnsi="Times New Roman" w:cs="Times New Roman"/>
      <w:b/>
      <w:bCs/>
      <w:sz w:val="24"/>
      <w:szCs w:val="24"/>
      <w:lang w:val="cs-CZ"/>
    </w:rPr>
  </w:style>
  <w:style w:type="paragraph" w:styleId="Zhlav">
    <w:name w:val="header"/>
    <w:basedOn w:val="Normln"/>
    <w:link w:val="ZhlavChar"/>
    <w:uiPriority w:val="99"/>
    <w:rsid w:val="0083372E"/>
    <w:pPr>
      <w:tabs>
        <w:tab w:val="center" w:pos="4703"/>
        <w:tab w:val="right" w:pos="9406"/>
      </w:tabs>
    </w:pPr>
  </w:style>
  <w:style w:type="character" w:customStyle="1" w:styleId="ZhlavChar">
    <w:name w:val="Záhlaví Char"/>
    <w:basedOn w:val="Standardnpsmoodstavce"/>
    <w:link w:val="Zhlav"/>
    <w:uiPriority w:val="99"/>
    <w:locked/>
    <w:rsid w:val="0083372E"/>
    <w:rPr>
      <w:rFonts w:cs="Times New Roman"/>
      <w:lang w:val="cs-CZ"/>
    </w:rPr>
  </w:style>
  <w:style w:type="paragraph" w:styleId="Zpat">
    <w:name w:val="footer"/>
    <w:basedOn w:val="Normln"/>
    <w:link w:val="ZpatChar"/>
    <w:uiPriority w:val="99"/>
    <w:rsid w:val="0083372E"/>
    <w:pPr>
      <w:tabs>
        <w:tab w:val="center" w:pos="4703"/>
        <w:tab w:val="right" w:pos="9406"/>
      </w:tabs>
    </w:pPr>
  </w:style>
  <w:style w:type="character" w:customStyle="1" w:styleId="ZpatChar">
    <w:name w:val="Zápatí Char"/>
    <w:basedOn w:val="Standardnpsmoodstavce"/>
    <w:link w:val="Zpat"/>
    <w:uiPriority w:val="99"/>
    <w:locked/>
    <w:rsid w:val="0083372E"/>
    <w:rPr>
      <w:rFonts w:cs="Times New Roman"/>
      <w:lang w:val="cs-CZ"/>
    </w:rPr>
  </w:style>
  <w:style w:type="paragraph" w:styleId="Textbubliny">
    <w:name w:val="Balloon Text"/>
    <w:basedOn w:val="Normln"/>
    <w:link w:val="TextbublinyChar"/>
    <w:uiPriority w:val="99"/>
    <w:semiHidden/>
    <w:rsid w:val="003955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955F5"/>
    <w:rPr>
      <w:rFonts w:ascii="Tahoma" w:hAnsi="Tahoma" w:cs="Tahoma"/>
      <w:sz w:val="16"/>
      <w:szCs w:val="16"/>
      <w:lang w:val="cs-CZ"/>
    </w:rPr>
  </w:style>
  <w:style w:type="paragraph" w:customStyle="1" w:styleId="Contact">
    <w:name w:val="Contact"/>
    <w:basedOn w:val="Normln"/>
    <w:uiPriority w:val="99"/>
    <w:rsid w:val="00193A96"/>
    <w:pPr>
      <w:spacing w:after="0" w:line="280" w:lineRule="exact"/>
    </w:pPr>
    <w:rPr>
      <w:rFonts w:ascii="Times New Roman" w:eastAsia="Times New Roman" w:hAnsi="Times New Roman"/>
      <w:bCs/>
      <w:szCs w:val="24"/>
    </w:rPr>
  </w:style>
  <w:style w:type="character" w:styleId="Hypertextovodkaz">
    <w:name w:val="Hyperlink"/>
    <w:basedOn w:val="Standardnpsmoodstavce"/>
    <w:uiPriority w:val="99"/>
    <w:rsid w:val="00193A96"/>
    <w:rPr>
      <w:rFonts w:cs="Times New Roman"/>
      <w:color w:val="0000FF"/>
      <w:u w:val="single"/>
    </w:rPr>
  </w:style>
  <w:style w:type="table" w:styleId="Mkatabulky">
    <w:name w:val="Table Grid"/>
    <w:basedOn w:val="Normlntabulka"/>
    <w:uiPriority w:val="99"/>
    <w:rsid w:val="00193A9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LTGliederung1">
    <w:name w:val="Default~LT~Gliederung 1"/>
    <w:uiPriority w:val="99"/>
    <w:rsid w:val="00193A96"/>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100" w:lineRule="atLeast"/>
    </w:pPr>
    <w:rPr>
      <w:rFonts w:ascii="Arial Unicode MS" w:hAnsi="Arial Unicode MS" w:cs="Arial Unicode MS"/>
      <w:color w:val="000000"/>
      <w:kern w:val="1"/>
      <w:sz w:val="64"/>
      <w:szCs w:val="64"/>
      <w:lang w:eastAsia="hi-IN" w:bidi="hi-IN"/>
    </w:rPr>
  </w:style>
  <w:style w:type="paragraph" w:customStyle="1" w:styleId="DefaultLTTitel">
    <w:name w:val="Default~LT~Titel"/>
    <w:uiPriority w:val="99"/>
    <w:rsid w:val="00193A9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jc w:val="center"/>
    </w:pPr>
    <w:rPr>
      <w:rFonts w:ascii="Arial Unicode MS" w:hAnsi="Arial Unicode MS" w:cs="Arial Unicode MS"/>
      <w:color w:val="000000"/>
      <w:kern w:val="1"/>
      <w:sz w:val="88"/>
      <w:szCs w:val="88"/>
      <w:lang w:eastAsia="hi-IN" w:bidi="hi-IN"/>
    </w:rPr>
  </w:style>
  <w:style w:type="character" w:styleId="Odkaznakoment">
    <w:name w:val="annotation reference"/>
    <w:basedOn w:val="Standardnpsmoodstavce"/>
    <w:uiPriority w:val="99"/>
    <w:rsid w:val="00193A96"/>
    <w:rPr>
      <w:rFonts w:cs="Times New Roman"/>
      <w:sz w:val="16"/>
      <w:szCs w:val="16"/>
    </w:rPr>
  </w:style>
  <w:style w:type="paragraph" w:styleId="Textkomente">
    <w:name w:val="annotation text"/>
    <w:basedOn w:val="Normln"/>
    <w:link w:val="TextkomenteChar"/>
    <w:uiPriority w:val="99"/>
    <w:rsid w:val="00193A96"/>
    <w:pPr>
      <w:spacing w:after="0" w:line="240" w:lineRule="auto"/>
    </w:pPr>
    <w:rPr>
      <w:rFonts w:ascii="Times New Roman" w:eastAsia="Times New Roman" w:hAnsi="Times New Roman"/>
      <w:sz w:val="20"/>
      <w:szCs w:val="20"/>
    </w:rPr>
  </w:style>
  <w:style w:type="character" w:customStyle="1" w:styleId="TextkomenteChar">
    <w:name w:val="Text komentáře Char"/>
    <w:basedOn w:val="Standardnpsmoodstavce"/>
    <w:link w:val="Textkomente"/>
    <w:uiPriority w:val="99"/>
    <w:locked/>
    <w:rsid w:val="00193A96"/>
    <w:rPr>
      <w:rFonts w:ascii="Times New Roman" w:hAnsi="Times New Roman" w:cs="Times New Roman"/>
      <w:sz w:val="20"/>
      <w:szCs w:val="20"/>
      <w:lang w:val="cs-CZ"/>
    </w:rPr>
  </w:style>
  <w:style w:type="paragraph" w:styleId="Odstavecseseznamem">
    <w:name w:val="List Paragraph"/>
    <w:basedOn w:val="Normln"/>
    <w:uiPriority w:val="99"/>
    <w:qFormat/>
    <w:rsid w:val="003C729F"/>
    <w:pPr>
      <w:ind w:left="720"/>
      <w:contextualSpacing/>
    </w:pPr>
  </w:style>
  <w:style w:type="paragraph" w:customStyle="1" w:styleId="Contactheading">
    <w:name w:val="_Contact heading"/>
    <w:basedOn w:val="Normln"/>
    <w:uiPriority w:val="99"/>
    <w:rsid w:val="00736278"/>
    <w:pPr>
      <w:spacing w:after="0" w:line="240" w:lineRule="atLeast"/>
    </w:pPr>
    <w:rPr>
      <w:rFonts w:ascii="Arial" w:hAnsi="Arial"/>
      <w:b/>
      <w:color w:val="000000"/>
      <w:sz w:val="20"/>
      <w:lang w:val="en-GB"/>
    </w:rPr>
  </w:style>
  <w:style w:type="paragraph" w:customStyle="1" w:styleId="Contactname">
    <w:name w:val="_Contact name"/>
    <w:basedOn w:val="Normln"/>
    <w:next w:val="Contactsectorname"/>
    <w:uiPriority w:val="99"/>
    <w:rsid w:val="00736278"/>
    <w:pPr>
      <w:spacing w:before="240" w:after="0" w:line="240" w:lineRule="atLeast"/>
    </w:pPr>
    <w:rPr>
      <w:rFonts w:ascii="Arial" w:hAnsi="Arial"/>
      <w:b/>
      <w:color w:val="00338D"/>
      <w:sz w:val="20"/>
      <w:lang w:val="en-GB"/>
    </w:rPr>
  </w:style>
  <w:style w:type="paragraph" w:customStyle="1" w:styleId="Contactsectorname">
    <w:name w:val="_Contact sector name"/>
    <w:basedOn w:val="Normln"/>
    <w:next w:val="Contacttelephone"/>
    <w:uiPriority w:val="99"/>
    <w:rsid w:val="00736278"/>
    <w:pPr>
      <w:spacing w:after="0" w:line="240" w:lineRule="atLeast"/>
    </w:pPr>
    <w:rPr>
      <w:rFonts w:ascii="Arial" w:hAnsi="Arial"/>
      <w:b/>
      <w:color w:val="000000"/>
      <w:sz w:val="20"/>
      <w:lang w:val="en-GB"/>
    </w:rPr>
  </w:style>
  <w:style w:type="paragraph" w:customStyle="1" w:styleId="Contacttelephone">
    <w:name w:val="_Contact telephone"/>
    <w:basedOn w:val="Normln"/>
    <w:next w:val="Contactemail"/>
    <w:uiPriority w:val="99"/>
    <w:rsid w:val="00736278"/>
    <w:pPr>
      <w:spacing w:after="0" w:line="240" w:lineRule="atLeast"/>
    </w:pPr>
    <w:rPr>
      <w:rFonts w:ascii="Arial" w:hAnsi="Arial"/>
      <w:color w:val="000000"/>
      <w:sz w:val="20"/>
      <w:lang w:val="en-GB"/>
    </w:rPr>
  </w:style>
  <w:style w:type="paragraph" w:customStyle="1" w:styleId="Contactemail">
    <w:name w:val="_Contact email"/>
    <w:basedOn w:val="Normln"/>
    <w:next w:val="Contactname"/>
    <w:uiPriority w:val="99"/>
    <w:rsid w:val="00736278"/>
    <w:pPr>
      <w:spacing w:after="0" w:line="240" w:lineRule="atLeast"/>
    </w:pPr>
    <w:rPr>
      <w:rFonts w:ascii="Arial" w:hAnsi="Arial"/>
      <w:color w:val="000000"/>
      <w:sz w:val="20"/>
      <w:lang w:val="en-GB"/>
    </w:rPr>
  </w:style>
  <w:style w:type="character" w:customStyle="1" w:styleId="Contactbold">
    <w:name w:val="_Contact bold"/>
    <w:basedOn w:val="Standardnpsmoodstavce"/>
    <w:uiPriority w:val="99"/>
    <w:rsid w:val="00736278"/>
    <w:rPr>
      <w:rFonts w:ascii="Arial" w:hAnsi="Arial" w:cs="Times New Roman"/>
      <w:b/>
      <w:color w:val="000000"/>
      <w:sz w:val="22"/>
      <w:szCs w:val="22"/>
      <w:lang w:val="en-GB" w:eastAsia="en-US" w:bidi="ar-SA"/>
    </w:rPr>
  </w:style>
  <w:style w:type="character" w:styleId="Sledovanodkaz">
    <w:name w:val="FollowedHyperlink"/>
    <w:basedOn w:val="Standardnpsmoodstavce"/>
    <w:uiPriority w:val="99"/>
    <w:semiHidden/>
    <w:rsid w:val="00DB2BEA"/>
    <w:rPr>
      <w:rFonts w:cs="Times New Roman"/>
      <w:color w:val="800080"/>
      <w:u w:val="single"/>
    </w:rPr>
  </w:style>
  <w:style w:type="character" w:customStyle="1" w:styleId="CharChar1">
    <w:name w:val="Char Char1"/>
    <w:basedOn w:val="Standardnpsmoodstavce"/>
    <w:uiPriority w:val="99"/>
    <w:rsid w:val="003247C4"/>
    <w:rPr>
      <w:rFonts w:ascii="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rsid w:val="008C2C4D"/>
    <w:pPr>
      <w:spacing w:after="200" w:line="276" w:lineRule="auto"/>
    </w:pPr>
    <w:rPr>
      <w:rFonts w:ascii="Calibri" w:eastAsia="Calibri" w:hAnsi="Calibri"/>
      <w:b/>
      <w:bCs/>
    </w:rPr>
  </w:style>
  <w:style w:type="character" w:customStyle="1" w:styleId="PedmtkomenteChar">
    <w:name w:val="Předmět komentáře Char"/>
    <w:basedOn w:val="TextkomenteChar"/>
    <w:link w:val="Pedmtkomente"/>
    <w:uiPriority w:val="99"/>
    <w:semiHidden/>
    <w:locked/>
    <w:rsid w:val="008C2C4D"/>
    <w:rPr>
      <w:rFonts w:ascii="Times New Roman" w:hAnsi="Times New Roman" w:cs="Times New Roman"/>
      <w:b/>
      <w:bCs/>
      <w:sz w:val="20"/>
      <w:szCs w:val="20"/>
      <w:lang w:val="cs-CZ" w:eastAsia="en-US"/>
    </w:rPr>
  </w:style>
  <w:style w:type="paragraph" w:styleId="Revize">
    <w:name w:val="Revision"/>
    <w:hidden/>
    <w:uiPriority w:val="99"/>
    <w:semiHidden/>
    <w:rsid w:val="001417D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6626"/>
    <w:pPr>
      <w:spacing w:after="200" w:line="276" w:lineRule="auto"/>
    </w:pPr>
    <w:rPr>
      <w:lang w:eastAsia="en-US"/>
    </w:rPr>
  </w:style>
  <w:style w:type="paragraph" w:styleId="Nadpis1">
    <w:name w:val="heading 1"/>
    <w:basedOn w:val="Normln"/>
    <w:next w:val="Normln"/>
    <w:link w:val="Nadpis1Char"/>
    <w:uiPriority w:val="99"/>
    <w:qFormat/>
    <w:rsid w:val="00193A96"/>
    <w:pPr>
      <w:keepNext/>
      <w:spacing w:before="240" w:after="60" w:line="360" w:lineRule="exact"/>
      <w:jc w:val="center"/>
      <w:outlineLvl w:val="0"/>
    </w:pPr>
    <w:rPr>
      <w:rFonts w:ascii="Times New Roman" w:eastAsia="Times New Roman" w:hAnsi="Times New Roman" w:cs="Arial"/>
      <w:b/>
      <w:bCs/>
      <w:spacing w:val="20"/>
      <w:kern w:val="32"/>
      <w:sz w:val="32"/>
      <w:szCs w:val="32"/>
    </w:rPr>
  </w:style>
  <w:style w:type="paragraph" w:styleId="Nadpis2">
    <w:name w:val="heading 2"/>
    <w:basedOn w:val="Normln"/>
    <w:next w:val="Normln"/>
    <w:link w:val="Nadpis2Char"/>
    <w:uiPriority w:val="99"/>
    <w:qFormat/>
    <w:rsid w:val="00193A96"/>
    <w:pPr>
      <w:keepNext/>
      <w:spacing w:before="240" w:after="60" w:line="320" w:lineRule="exact"/>
      <w:jc w:val="center"/>
      <w:outlineLvl w:val="1"/>
    </w:pPr>
    <w:rPr>
      <w:rFonts w:ascii="Times New Roman" w:eastAsia="Times New Roman" w:hAnsi="Times New Roman" w:cs="Arial"/>
      <w:bCs/>
      <w:i/>
      <w:iCs/>
      <w:spacing w:val="6"/>
      <w:sz w:val="28"/>
      <w:szCs w:val="28"/>
    </w:rPr>
  </w:style>
  <w:style w:type="paragraph" w:styleId="Nadpis3">
    <w:name w:val="heading 3"/>
    <w:basedOn w:val="Normln"/>
    <w:next w:val="Normln"/>
    <w:link w:val="Nadpis3Char"/>
    <w:uiPriority w:val="99"/>
    <w:qFormat/>
    <w:rsid w:val="00193A96"/>
    <w:pPr>
      <w:keepNext/>
      <w:spacing w:after="0" w:line="240" w:lineRule="auto"/>
      <w:outlineLvl w:val="2"/>
    </w:pPr>
    <w:rPr>
      <w:rFonts w:ascii="Times New Roman" w:eastAsia="Times New Roman" w:hAnsi="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93A96"/>
    <w:rPr>
      <w:rFonts w:ascii="Times New Roman" w:hAnsi="Times New Roman" w:cs="Arial"/>
      <w:b/>
      <w:bCs/>
      <w:spacing w:val="20"/>
      <w:kern w:val="32"/>
      <w:sz w:val="32"/>
      <w:szCs w:val="32"/>
      <w:lang w:val="cs-CZ"/>
    </w:rPr>
  </w:style>
  <w:style w:type="character" w:customStyle="1" w:styleId="Nadpis2Char">
    <w:name w:val="Nadpis 2 Char"/>
    <w:basedOn w:val="Standardnpsmoodstavce"/>
    <w:link w:val="Nadpis2"/>
    <w:uiPriority w:val="99"/>
    <w:locked/>
    <w:rsid w:val="00193A96"/>
    <w:rPr>
      <w:rFonts w:ascii="Times New Roman" w:hAnsi="Times New Roman" w:cs="Arial"/>
      <w:bCs/>
      <w:i/>
      <w:iCs/>
      <w:spacing w:val="6"/>
      <w:sz w:val="28"/>
      <w:szCs w:val="28"/>
      <w:lang w:val="cs-CZ"/>
    </w:rPr>
  </w:style>
  <w:style w:type="character" w:customStyle="1" w:styleId="Nadpis3Char">
    <w:name w:val="Nadpis 3 Char"/>
    <w:basedOn w:val="Standardnpsmoodstavce"/>
    <w:link w:val="Nadpis3"/>
    <w:uiPriority w:val="99"/>
    <w:locked/>
    <w:rsid w:val="00193A96"/>
    <w:rPr>
      <w:rFonts w:ascii="Times New Roman" w:hAnsi="Times New Roman" w:cs="Times New Roman"/>
      <w:b/>
      <w:bCs/>
      <w:sz w:val="24"/>
      <w:szCs w:val="24"/>
      <w:lang w:val="cs-CZ"/>
    </w:rPr>
  </w:style>
  <w:style w:type="paragraph" w:styleId="Zhlav">
    <w:name w:val="header"/>
    <w:basedOn w:val="Normln"/>
    <w:link w:val="ZhlavChar"/>
    <w:uiPriority w:val="99"/>
    <w:rsid w:val="0083372E"/>
    <w:pPr>
      <w:tabs>
        <w:tab w:val="center" w:pos="4703"/>
        <w:tab w:val="right" w:pos="9406"/>
      </w:tabs>
    </w:pPr>
  </w:style>
  <w:style w:type="character" w:customStyle="1" w:styleId="ZhlavChar">
    <w:name w:val="Záhlaví Char"/>
    <w:basedOn w:val="Standardnpsmoodstavce"/>
    <w:link w:val="Zhlav"/>
    <w:uiPriority w:val="99"/>
    <w:locked/>
    <w:rsid w:val="0083372E"/>
    <w:rPr>
      <w:rFonts w:cs="Times New Roman"/>
      <w:lang w:val="cs-CZ"/>
    </w:rPr>
  </w:style>
  <w:style w:type="paragraph" w:styleId="Zpat">
    <w:name w:val="footer"/>
    <w:basedOn w:val="Normln"/>
    <w:link w:val="ZpatChar"/>
    <w:uiPriority w:val="99"/>
    <w:rsid w:val="0083372E"/>
    <w:pPr>
      <w:tabs>
        <w:tab w:val="center" w:pos="4703"/>
        <w:tab w:val="right" w:pos="9406"/>
      </w:tabs>
    </w:pPr>
  </w:style>
  <w:style w:type="character" w:customStyle="1" w:styleId="ZpatChar">
    <w:name w:val="Zápatí Char"/>
    <w:basedOn w:val="Standardnpsmoodstavce"/>
    <w:link w:val="Zpat"/>
    <w:uiPriority w:val="99"/>
    <w:locked/>
    <w:rsid w:val="0083372E"/>
    <w:rPr>
      <w:rFonts w:cs="Times New Roman"/>
      <w:lang w:val="cs-CZ"/>
    </w:rPr>
  </w:style>
  <w:style w:type="paragraph" w:styleId="Textbubliny">
    <w:name w:val="Balloon Text"/>
    <w:basedOn w:val="Normln"/>
    <w:link w:val="TextbublinyChar"/>
    <w:uiPriority w:val="99"/>
    <w:semiHidden/>
    <w:rsid w:val="003955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955F5"/>
    <w:rPr>
      <w:rFonts w:ascii="Tahoma" w:hAnsi="Tahoma" w:cs="Tahoma"/>
      <w:sz w:val="16"/>
      <w:szCs w:val="16"/>
      <w:lang w:val="cs-CZ"/>
    </w:rPr>
  </w:style>
  <w:style w:type="paragraph" w:customStyle="1" w:styleId="Contact">
    <w:name w:val="Contact"/>
    <w:basedOn w:val="Normln"/>
    <w:uiPriority w:val="99"/>
    <w:rsid w:val="00193A96"/>
    <w:pPr>
      <w:spacing w:after="0" w:line="280" w:lineRule="exact"/>
    </w:pPr>
    <w:rPr>
      <w:rFonts w:ascii="Times New Roman" w:eastAsia="Times New Roman" w:hAnsi="Times New Roman"/>
      <w:bCs/>
      <w:szCs w:val="24"/>
    </w:rPr>
  </w:style>
  <w:style w:type="character" w:styleId="Hypertextovodkaz">
    <w:name w:val="Hyperlink"/>
    <w:basedOn w:val="Standardnpsmoodstavce"/>
    <w:uiPriority w:val="99"/>
    <w:rsid w:val="00193A96"/>
    <w:rPr>
      <w:rFonts w:cs="Times New Roman"/>
      <w:color w:val="0000FF"/>
      <w:u w:val="single"/>
    </w:rPr>
  </w:style>
  <w:style w:type="table" w:styleId="Mkatabulky">
    <w:name w:val="Table Grid"/>
    <w:basedOn w:val="Normlntabulka"/>
    <w:uiPriority w:val="99"/>
    <w:rsid w:val="00193A9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LTGliederung1">
    <w:name w:val="Default~LT~Gliederung 1"/>
    <w:uiPriority w:val="99"/>
    <w:rsid w:val="00193A96"/>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100" w:lineRule="atLeast"/>
    </w:pPr>
    <w:rPr>
      <w:rFonts w:ascii="Arial Unicode MS" w:hAnsi="Arial Unicode MS" w:cs="Arial Unicode MS"/>
      <w:color w:val="000000"/>
      <w:kern w:val="1"/>
      <w:sz w:val="64"/>
      <w:szCs w:val="64"/>
      <w:lang w:eastAsia="hi-IN" w:bidi="hi-IN"/>
    </w:rPr>
  </w:style>
  <w:style w:type="paragraph" w:customStyle="1" w:styleId="DefaultLTTitel">
    <w:name w:val="Default~LT~Titel"/>
    <w:uiPriority w:val="99"/>
    <w:rsid w:val="00193A9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jc w:val="center"/>
    </w:pPr>
    <w:rPr>
      <w:rFonts w:ascii="Arial Unicode MS" w:hAnsi="Arial Unicode MS" w:cs="Arial Unicode MS"/>
      <w:color w:val="000000"/>
      <w:kern w:val="1"/>
      <w:sz w:val="88"/>
      <w:szCs w:val="88"/>
      <w:lang w:eastAsia="hi-IN" w:bidi="hi-IN"/>
    </w:rPr>
  </w:style>
  <w:style w:type="character" w:styleId="Odkaznakoment">
    <w:name w:val="annotation reference"/>
    <w:basedOn w:val="Standardnpsmoodstavce"/>
    <w:uiPriority w:val="99"/>
    <w:rsid w:val="00193A96"/>
    <w:rPr>
      <w:rFonts w:cs="Times New Roman"/>
      <w:sz w:val="16"/>
      <w:szCs w:val="16"/>
    </w:rPr>
  </w:style>
  <w:style w:type="paragraph" w:styleId="Textkomente">
    <w:name w:val="annotation text"/>
    <w:basedOn w:val="Normln"/>
    <w:link w:val="TextkomenteChar"/>
    <w:uiPriority w:val="99"/>
    <w:rsid w:val="00193A96"/>
    <w:pPr>
      <w:spacing w:after="0" w:line="240" w:lineRule="auto"/>
    </w:pPr>
    <w:rPr>
      <w:rFonts w:ascii="Times New Roman" w:eastAsia="Times New Roman" w:hAnsi="Times New Roman"/>
      <w:sz w:val="20"/>
      <w:szCs w:val="20"/>
    </w:rPr>
  </w:style>
  <w:style w:type="character" w:customStyle="1" w:styleId="TextkomenteChar">
    <w:name w:val="Text komentáře Char"/>
    <w:basedOn w:val="Standardnpsmoodstavce"/>
    <w:link w:val="Textkomente"/>
    <w:uiPriority w:val="99"/>
    <w:locked/>
    <w:rsid w:val="00193A96"/>
    <w:rPr>
      <w:rFonts w:ascii="Times New Roman" w:hAnsi="Times New Roman" w:cs="Times New Roman"/>
      <w:sz w:val="20"/>
      <w:szCs w:val="20"/>
      <w:lang w:val="cs-CZ"/>
    </w:rPr>
  </w:style>
  <w:style w:type="paragraph" w:styleId="Odstavecseseznamem">
    <w:name w:val="List Paragraph"/>
    <w:basedOn w:val="Normln"/>
    <w:uiPriority w:val="99"/>
    <w:qFormat/>
    <w:rsid w:val="003C729F"/>
    <w:pPr>
      <w:ind w:left="720"/>
      <w:contextualSpacing/>
    </w:pPr>
  </w:style>
  <w:style w:type="paragraph" w:customStyle="1" w:styleId="Contactheading">
    <w:name w:val="_Contact heading"/>
    <w:basedOn w:val="Normln"/>
    <w:uiPriority w:val="99"/>
    <w:rsid w:val="00736278"/>
    <w:pPr>
      <w:spacing w:after="0" w:line="240" w:lineRule="atLeast"/>
    </w:pPr>
    <w:rPr>
      <w:rFonts w:ascii="Arial" w:hAnsi="Arial"/>
      <w:b/>
      <w:color w:val="000000"/>
      <w:sz w:val="20"/>
      <w:lang w:val="en-GB"/>
    </w:rPr>
  </w:style>
  <w:style w:type="paragraph" w:customStyle="1" w:styleId="Contactname">
    <w:name w:val="_Contact name"/>
    <w:basedOn w:val="Normln"/>
    <w:next w:val="Contactsectorname"/>
    <w:uiPriority w:val="99"/>
    <w:rsid w:val="00736278"/>
    <w:pPr>
      <w:spacing w:before="240" w:after="0" w:line="240" w:lineRule="atLeast"/>
    </w:pPr>
    <w:rPr>
      <w:rFonts w:ascii="Arial" w:hAnsi="Arial"/>
      <w:b/>
      <w:color w:val="00338D"/>
      <w:sz w:val="20"/>
      <w:lang w:val="en-GB"/>
    </w:rPr>
  </w:style>
  <w:style w:type="paragraph" w:customStyle="1" w:styleId="Contactsectorname">
    <w:name w:val="_Contact sector name"/>
    <w:basedOn w:val="Normln"/>
    <w:next w:val="Contacttelephone"/>
    <w:uiPriority w:val="99"/>
    <w:rsid w:val="00736278"/>
    <w:pPr>
      <w:spacing w:after="0" w:line="240" w:lineRule="atLeast"/>
    </w:pPr>
    <w:rPr>
      <w:rFonts w:ascii="Arial" w:hAnsi="Arial"/>
      <w:b/>
      <w:color w:val="000000"/>
      <w:sz w:val="20"/>
      <w:lang w:val="en-GB"/>
    </w:rPr>
  </w:style>
  <w:style w:type="paragraph" w:customStyle="1" w:styleId="Contacttelephone">
    <w:name w:val="_Contact telephone"/>
    <w:basedOn w:val="Normln"/>
    <w:next w:val="Contactemail"/>
    <w:uiPriority w:val="99"/>
    <w:rsid w:val="00736278"/>
    <w:pPr>
      <w:spacing w:after="0" w:line="240" w:lineRule="atLeast"/>
    </w:pPr>
    <w:rPr>
      <w:rFonts w:ascii="Arial" w:hAnsi="Arial"/>
      <w:color w:val="000000"/>
      <w:sz w:val="20"/>
      <w:lang w:val="en-GB"/>
    </w:rPr>
  </w:style>
  <w:style w:type="paragraph" w:customStyle="1" w:styleId="Contactemail">
    <w:name w:val="_Contact email"/>
    <w:basedOn w:val="Normln"/>
    <w:next w:val="Contactname"/>
    <w:uiPriority w:val="99"/>
    <w:rsid w:val="00736278"/>
    <w:pPr>
      <w:spacing w:after="0" w:line="240" w:lineRule="atLeast"/>
    </w:pPr>
    <w:rPr>
      <w:rFonts w:ascii="Arial" w:hAnsi="Arial"/>
      <w:color w:val="000000"/>
      <w:sz w:val="20"/>
      <w:lang w:val="en-GB"/>
    </w:rPr>
  </w:style>
  <w:style w:type="character" w:customStyle="1" w:styleId="Contactbold">
    <w:name w:val="_Contact bold"/>
    <w:basedOn w:val="Standardnpsmoodstavce"/>
    <w:uiPriority w:val="99"/>
    <w:rsid w:val="00736278"/>
    <w:rPr>
      <w:rFonts w:ascii="Arial" w:hAnsi="Arial" w:cs="Times New Roman"/>
      <w:b/>
      <w:color w:val="000000"/>
      <w:sz w:val="22"/>
      <w:szCs w:val="22"/>
      <w:lang w:val="en-GB" w:eastAsia="en-US" w:bidi="ar-SA"/>
    </w:rPr>
  </w:style>
  <w:style w:type="character" w:styleId="Sledovanodkaz">
    <w:name w:val="FollowedHyperlink"/>
    <w:basedOn w:val="Standardnpsmoodstavce"/>
    <w:uiPriority w:val="99"/>
    <w:semiHidden/>
    <w:rsid w:val="00DB2BEA"/>
    <w:rPr>
      <w:rFonts w:cs="Times New Roman"/>
      <w:color w:val="800080"/>
      <w:u w:val="single"/>
    </w:rPr>
  </w:style>
  <w:style w:type="character" w:customStyle="1" w:styleId="CharChar1">
    <w:name w:val="Char Char1"/>
    <w:basedOn w:val="Standardnpsmoodstavce"/>
    <w:uiPriority w:val="99"/>
    <w:rsid w:val="003247C4"/>
    <w:rPr>
      <w:rFonts w:ascii="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rsid w:val="008C2C4D"/>
    <w:pPr>
      <w:spacing w:after="200" w:line="276" w:lineRule="auto"/>
    </w:pPr>
    <w:rPr>
      <w:rFonts w:ascii="Calibri" w:eastAsia="Calibri" w:hAnsi="Calibri"/>
      <w:b/>
      <w:bCs/>
    </w:rPr>
  </w:style>
  <w:style w:type="character" w:customStyle="1" w:styleId="PedmtkomenteChar">
    <w:name w:val="Předmět komentáře Char"/>
    <w:basedOn w:val="TextkomenteChar"/>
    <w:link w:val="Pedmtkomente"/>
    <w:uiPriority w:val="99"/>
    <w:semiHidden/>
    <w:locked/>
    <w:rsid w:val="008C2C4D"/>
    <w:rPr>
      <w:rFonts w:ascii="Times New Roman" w:hAnsi="Times New Roman" w:cs="Times New Roman"/>
      <w:b/>
      <w:bCs/>
      <w:sz w:val="20"/>
      <w:szCs w:val="20"/>
      <w:lang w:val="cs-CZ" w:eastAsia="en-US"/>
    </w:rPr>
  </w:style>
  <w:style w:type="paragraph" w:styleId="Revize">
    <w:name w:val="Revision"/>
    <w:hidden/>
    <w:uiPriority w:val="99"/>
    <w:semiHidden/>
    <w:rsid w:val="001417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50581">
      <w:marLeft w:val="0"/>
      <w:marRight w:val="0"/>
      <w:marTop w:val="0"/>
      <w:marBottom w:val="0"/>
      <w:divBdr>
        <w:top w:val="none" w:sz="0" w:space="0" w:color="auto"/>
        <w:left w:val="none" w:sz="0" w:space="0" w:color="auto"/>
        <w:bottom w:val="none" w:sz="0" w:space="0" w:color="auto"/>
        <w:right w:val="none" w:sz="0" w:space="0" w:color="auto"/>
      </w:divBdr>
    </w:div>
    <w:div w:id="399450582">
      <w:marLeft w:val="0"/>
      <w:marRight w:val="0"/>
      <w:marTop w:val="0"/>
      <w:marBottom w:val="0"/>
      <w:divBdr>
        <w:top w:val="none" w:sz="0" w:space="0" w:color="auto"/>
        <w:left w:val="none" w:sz="0" w:space="0" w:color="auto"/>
        <w:bottom w:val="none" w:sz="0" w:space="0" w:color="auto"/>
        <w:right w:val="none" w:sz="0" w:space="0" w:color="auto"/>
      </w:divBdr>
    </w:div>
    <w:div w:id="399450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pmg.com/global/en/services/tax/tax-tools-and-resources/pages/tax-rates-online.aspx" TargetMode="External"/><Relationship Id="rId13" Type="http://schemas.openxmlformats.org/officeDocument/2006/relationships/hyperlink" Target="http://www.nativepr.cz" TargetMode="External"/><Relationship Id="rId18" Type="http://schemas.openxmlformats.org/officeDocument/2006/relationships/hyperlink" Target="http://www.kpmg.com/CZ/cs/services/Tax/Legal-Services/Stranky/Default.aspx"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kpmg.com/CZ/cs/Stranky/default.aspx" TargetMode="External"/><Relationship Id="rId17" Type="http://schemas.openxmlformats.org/officeDocument/2006/relationships/hyperlink" Target="http://www.kpmg.com/CZ/cs/services/Advisory/Stranky/default.aspx" TargetMode="External"/><Relationship Id="rId2" Type="http://schemas.openxmlformats.org/officeDocument/2006/relationships/styles" Target="styles.xml"/><Relationship Id="rId16" Type="http://schemas.openxmlformats.org/officeDocument/2006/relationships/hyperlink" Target="http://www.kpmg.com/CZ/cs/services/Tax/Stranky/default.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konecna@kpmg.cz" TargetMode="External"/><Relationship Id="rId5" Type="http://schemas.openxmlformats.org/officeDocument/2006/relationships/webSettings" Target="webSettings.xml"/><Relationship Id="rId15" Type="http://schemas.openxmlformats.org/officeDocument/2006/relationships/hyperlink" Target="http://www.kpmg.com/cz/cs/services/audit/Stranky/default.aspx" TargetMode="External"/><Relationship Id="rId23" Type="http://schemas.openxmlformats.org/officeDocument/2006/relationships/theme" Target="theme/theme1.xml"/><Relationship Id="rId10" Type="http://schemas.openxmlformats.org/officeDocument/2006/relationships/hyperlink" Target="http://www.kpmg.com/CZ/cs/Stranky/default.aspx" TargetMode="External"/><Relationship Id="rId19" Type="http://schemas.openxmlformats.org/officeDocument/2006/relationships/hyperlink" Target="http://kpmg.com/global/en/pages/default.aspx" TargetMode="External"/><Relationship Id="rId4" Type="http://schemas.openxmlformats.org/officeDocument/2006/relationships/settings" Target="settings.xml"/><Relationship Id="rId9" Type="http://schemas.openxmlformats.org/officeDocument/2006/relationships/hyperlink" Target="http://www.kpmg.com/CZ/cs/services/Tax/International-Executive-Services/Stranky/default.aspx" TargetMode="External"/><Relationship Id="rId14" Type="http://schemas.openxmlformats.org/officeDocument/2006/relationships/hyperlink" Target="http://www.kpmg.com/CZ/cs/Stranky/default.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5219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Praha xx</vt:lpstr>
    </vt:vector>
  </TitlesOfParts>
  <Company>KPMG</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Praha xx</dc:title>
  <dc:creator>KPMG</dc:creator>
  <cp:lastModifiedBy>Lucie Vrbová</cp:lastModifiedBy>
  <cp:revision>2</cp:revision>
  <cp:lastPrinted>2012-01-11T11:43:00Z</cp:lastPrinted>
  <dcterms:created xsi:type="dcterms:W3CDTF">2013-11-28T15:06:00Z</dcterms:created>
  <dcterms:modified xsi:type="dcterms:W3CDTF">2013-11-28T15:06:00Z</dcterms:modified>
</cp:coreProperties>
</file>